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宋体" w:eastAsia="方正黑体_GBK"/>
          <w:color w:val="000000"/>
          <w:sz w:val="36"/>
          <w:szCs w:val="36"/>
        </w:rPr>
      </w:pPr>
      <w:r>
        <w:rPr>
          <w:rFonts w:hint="eastAsia" w:ascii="方正黑体_GBK" w:hAnsi="宋体" w:eastAsia="方正黑体_GBK"/>
          <w:color w:val="000000"/>
          <w:sz w:val="36"/>
          <w:szCs w:val="36"/>
        </w:rPr>
        <w:t>附件2</w:t>
      </w:r>
    </w:p>
    <w:p>
      <w:pPr>
        <w:jc w:val="center"/>
        <w:rPr>
          <w:rFonts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202</w:t>
      </w:r>
      <w:r>
        <w:rPr>
          <w:rFonts w:ascii="方正小标宋_GBK" w:eastAsia="方正小标宋_GBK"/>
          <w:color w:val="000000"/>
          <w:sz w:val="36"/>
          <w:szCs w:val="36"/>
        </w:rPr>
        <w:t>2</w:t>
      </w:r>
      <w:r>
        <w:rPr>
          <w:rFonts w:hint="eastAsia" w:ascii="方正小标宋_GBK" w:eastAsia="方正小标宋_GBK"/>
          <w:color w:val="000000"/>
          <w:sz w:val="36"/>
          <w:szCs w:val="36"/>
        </w:rPr>
        <w:t>年</w:t>
      </w:r>
      <w:r>
        <w:rPr>
          <w:rFonts w:ascii="方正小标宋_GBK" w:eastAsia="方正小标宋_GBK"/>
          <w:color w:val="000000"/>
          <w:sz w:val="36"/>
          <w:szCs w:val="36"/>
        </w:rPr>
        <w:t>3</w:t>
      </w:r>
      <w:r>
        <w:rPr>
          <w:rFonts w:hint="eastAsia" w:ascii="方正小标宋_GBK" w:eastAsia="方正小标宋_GBK"/>
          <w:color w:val="000000"/>
          <w:sz w:val="36"/>
          <w:szCs w:val="36"/>
        </w:rPr>
        <w:t>月份NCRE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开考级别与科目</w:t>
      </w:r>
    </w:p>
    <w:p>
      <w:pPr>
        <w:rPr>
          <w:color w:val="000000"/>
          <w:szCs w:val="30"/>
        </w:rPr>
      </w:pPr>
    </w:p>
    <w:tbl>
      <w:tblPr>
        <w:tblStyle w:val="2"/>
        <w:tblW w:w="5972" w:type="pct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117"/>
        <w:gridCol w:w="1278"/>
        <w:gridCol w:w="1135"/>
        <w:gridCol w:w="1416"/>
        <w:gridCol w:w="21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Photoshop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Java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Access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C++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MySQL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Web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Python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42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42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6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</w:tbl>
    <w:p>
      <w:pPr>
        <w:widowControl/>
        <w:ind w:right="-1050" w:rightChars="-500"/>
        <w:jc w:val="left"/>
        <w:rPr>
          <w:rFonts w:ascii="Times New Roman" w:hAnsi="Times New Roman" w:eastAsia="仿宋_GB2312"/>
          <w:color w:val="000000"/>
          <w:sz w:val="22"/>
          <w:szCs w:val="20"/>
        </w:rPr>
      </w:pPr>
      <w:r>
        <w:rPr>
          <w:rFonts w:hint="eastAsia" w:ascii="Times New Roman" w:hAnsi="Times New Roman" w:eastAsia="仿宋_GB2312"/>
          <w:color w:val="000000"/>
          <w:sz w:val="22"/>
          <w:szCs w:val="20"/>
        </w:rPr>
        <w:t>注：</w:t>
      </w:r>
      <w:r>
        <w:rPr>
          <w:rFonts w:ascii="Times New Roman" w:hAnsi="Times New Roman" w:eastAsia="仿宋_GB2312"/>
          <w:color w:val="000000"/>
          <w:sz w:val="22"/>
          <w:szCs w:val="20"/>
        </w:rPr>
        <w:t>1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.2022年暂停三级Linux应用与开发技术、四级Linux应用与开发工程师等两个科目考试。2021年下半年已通过四级Linux考试的，成绩保留至2023年3月。</w:t>
      </w:r>
    </w:p>
    <w:p>
      <w:pPr>
        <w:widowControl/>
        <w:jc w:val="left"/>
      </w:pPr>
      <w:r>
        <w:rPr>
          <w:rFonts w:hint="eastAsia" w:ascii="Times New Roman" w:hAnsi="Times New Roman" w:eastAsia="仿宋_GB2312"/>
          <w:color w:val="000000"/>
          <w:sz w:val="22"/>
          <w:szCs w:val="20"/>
        </w:rPr>
        <w:t>2</w:t>
      </w:r>
      <w:r>
        <w:rPr>
          <w:rFonts w:ascii="Times New Roman" w:hAnsi="Times New Roman" w:eastAsia="仿宋_GB2312"/>
          <w:color w:val="000000"/>
          <w:sz w:val="22"/>
          <w:szCs w:val="20"/>
        </w:rPr>
        <w:t>.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从9月考试起，新增二级openGauss数据库程序设计（科目代码68）。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B349D"/>
    <w:rsid w:val="79B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2022-01-03T01:36:00Z</dcterms:created>
  <dc:creator>波妞</dc:creator>
  <cp:lastModifiedBy>波妞</cp:lastModifiedBy>
  <dcterms:modified xsi:type="dcterms:W3CDTF">2022-01-03T01:36:25Z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36027352D2114AE29CD6FA2A025AB833</vt:lpwstr>
  </property>
</Properties>
</file>