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64C86">
      <w:pPr>
        <w:keepNext w:val="0"/>
        <w:keepLines w:val="0"/>
        <w:widowControl/>
        <w:suppressLineNumbers w:val="0"/>
        <w:jc w:val="left"/>
      </w:pPr>
      <w:r>
        <w:rPr>
          <w:rFonts w:ascii="微软雅黑" w:hAnsi="微软雅黑" w:eastAsia="微软雅黑" w:cs="微软雅黑"/>
          <w:i w:val="0"/>
          <w:iCs w:val="0"/>
          <w:caps w:val="0"/>
          <w:color w:val="333333"/>
          <w:spacing w:val="0"/>
          <w:kern w:val="0"/>
          <w:sz w:val="10"/>
          <w:szCs w:val="10"/>
          <w:u w:val="none"/>
          <w:bdr w:val="none" w:color="auto" w:sz="0" w:space="0"/>
          <w:lang w:val="en-US" w:eastAsia="zh-CN" w:bidi="ar"/>
        </w:rPr>
        <w:fldChar w:fldCharType="begin"/>
      </w:r>
      <w:r>
        <w:rPr>
          <w:rFonts w:ascii="微软雅黑" w:hAnsi="微软雅黑" w:eastAsia="微软雅黑" w:cs="微软雅黑"/>
          <w:i w:val="0"/>
          <w:iCs w:val="0"/>
          <w:caps w:val="0"/>
          <w:color w:val="333333"/>
          <w:spacing w:val="0"/>
          <w:kern w:val="0"/>
          <w:sz w:val="10"/>
          <w:szCs w:val="10"/>
          <w:u w:val="none"/>
          <w:bdr w:val="none" w:color="auto" w:sz="0" w:space="0"/>
          <w:lang w:val="en-US" w:eastAsia="zh-CN" w:bidi="ar"/>
        </w:rPr>
        <w:instrText xml:space="preserve"> HYPERLINK "javascript:void(0)" </w:instrText>
      </w:r>
      <w:r>
        <w:rPr>
          <w:rFonts w:ascii="微软雅黑" w:hAnsi="微软雅黑" w:eastAsia="微软雅黑" w:cs="微软雅黑"/>
          <w:i w:val="0"/>
          <w:iCs w:val="0"/>
          <w:caps w:val="0"/>
          <w:color w:val="333333"/>
          <w:spacing w:val="0"/>
          <w:kern w:val="0"/>
          <w:sz w:val="10"/>
          <w:szCs w:val="10"/>
          <w:u w:val="none"/>
          <w:bdr w:val="none" w:color="auto" w:sz="0" w:space="0"/>
          <w:lang w:val="en-US" w:eastAsia="zh-CN" w:bidi="ar"/>
        </w:rPr>
        <w:fldChar w:fldCharType="separate"/>
      </w:r>
      <w:r>
        <w:rPr>
          <w:rFonts w:hint="eastAsia" w:ascii="微软雅黑" w:hAnsi="微软雅黑" w:eastAsia="微软雅黑" w:cs="微软雅黑"/>
          <w:i w:val="0"/>
          <w:iCs w:val="0"/>
          <w:caps w:val="0"/>
          <w:color w:val="333333"/>
          <w:spacing w:val="0"/>
          <w:kern w:val="0"/>
          <w:sz w:val="10"/>
          <w:szCs w:val="10"/>
          <w:u w:val="none"/>
          <w:bdr w:val="none" w:color="auto" w:sz="0" w:space="0"/>
          <w:lang w:val="en-US" w:eastAsia="zh-CN" w:bidi="ar"/>
        </w:rPr>
        <w:fldChar w:fldCharType="end"/>
      </w:r>
    </w:p>
    <w:p w14:paraId="6C938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b/>
          <w:bCs/>
          <w:sz w:val="32"/>
          <w:szCs w:val="32"/>
        </w:rPr>
      </w:pPr>
      <w:r>
        <w:rPr>
          <w:b/>
          <w:bCs/>
          <w:i w:val="0"/>
          <w:iCs w:val="0"/>
          <w:caps w:val="0"/>
          <w:color w:val="333333"/>
          <w:spacing w:val="0"/>
          <w:sz w:val="32"/>
          <w:szCs w:val="32"/>
          <w:bdr w:val="none" w:color="auto" w:sz="0" w:space="0"/>
        </w:rPr>
        <w:t>安徽省大学生创新创业教育办公室关于发布2025年安徽省大学生跨文化能力大赛赛项规程的通知</w:t>
      </w:r>
    </w:p>
    <w:p w14:paraId="69A46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0" w:lineRule="atLeast"/>
        <w:ind w:left="0" w:right="0" w:firstLine="0"/>
        <w:jc w:val="center"/>
        <w:textAlignment w:val="center"/>
        <w:rPr>
          <w:rFonts w:hint="eastAsia" w:ascii="微软雅黑" w:hAnsi="微软雅黑" w:eastAsia="微软雅黑" w:cs="微软雅黑"/>
          <w:b/>
          <w:bCs/>
          <w:i w:val="0"/>
          <w:iCs w:val="0"/>
          <w:caps w:val="0"/>
          <w:color w:val="666666"/>
          <w:spacing w:val="0"/>
          <w:sz w:val="32"/>
          <w:szCs w:val="32"/>
        </w:rPr>
      </w:pP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begin"/>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instrText xml:space="preserve"> HYPERLINK "javascript:void(0)" \o "分享到微信" </w:instrText>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separate"/>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end"/>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begin"/>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instrText xml:space="preserve"> HYPERLINK "javascript:void(0)" \o "分享到新浪微博" </w:instrText>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separate"/>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end"/>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begin"/>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instrText xml:space="preserve"> HYPERLINK "javascript:void(0)" \o "分享到QQ空间" </w:instrText>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separate"/>
      </w:r>
      <w:r>
        <w:rPr>
          <w:rFonts w:hint="eastAsia" w:ascii="微软雅黑" w:hAnsi="微软雅黑" w:eastAsia="微软雅黑" w:cs="微软雅黑"/>
          <w:b/>
          <w:bCs/>
          <w:i w:val="0"/>
          <w:iCs w:val="0"/>
          <w:caps w:val="0"/>
          <w:color w:val="666666"/>
          <w:spacing w:val="0"/>
          <w:kern w:val="0"/>
          <w:sz w:val="32"/>
          <w:szCs w:val="32"/>
          <w:u w:val="none"/>
          <w:bdr w:val="none" w:color="auto" w:sz="0" w:space="0"/>
          <w:lang w:val="en-US" w:eastAsia="zh-CN" w:bidi="ar"/>
        </w:rPr>
        <w:fldChar w:fldCharType="end"/>
      </w:r>
    </w:p>
    <w:p w14:paraId="568685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各有关高校：</w:t>
      </w:r>
    </w:p>
    <w:p w14:paraId="7686C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按照《安徽省教育厅关于进一步规范大学生学科和技能竞赛管理的意见》（皖教秘高〔2020〕67号）要求，由大赛组委会提交的《2025年安徽省大学生跨文化能力大赛赛项规程》，经安徽省大学生创新创业教育办公室审定通过，现将赛项规程予以公布。大赛组委会要严格按照规程开展各项竞赛组织工作。请各高校按照规程要求，积极组织符合条件的师生参赛。</w:t>
      </w:r>
    </w:p>
    <w:p w14:paraId="2A35E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center"/>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 </w:t>
      </w:r>
    </w:p>
    <w:p w14:paraId="4838F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righ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      安徽省大学生创新创业教育办公室</w:t>
      </w:r>
    </w:p>
    <w:p w14:paraId="7674B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righ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32"/>
          <w:szCs w:val="32"/>
          <w:bdr w:val="none" w:color="auto" w:sz="0" w:space="0"/>
          <w:lang w:val="en-US" w:eastAsia="zh-CN" w:bidi="ar"/>
        </w:rPr>
        <w:t>                          2025年4月29日</w:t>
      </w:r>
    </w:p>
    <w:p w14:paraId="75AA3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000000"/>
          <w:sz w:val="21"/>
          <w:szCs w:val="21"/>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p w14:paraId="2CCA90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等线" w:hAnsi="等线" w:eastAsia="等线" w:cs="等线"/>
          <w:color w:val="000000"/>
          <w:sz w:val="21"/>
          <w:szCs w:val="21"/>
        </w:rPr>
      </w:pPr>
      <w:r>
        <w:rPr>
          <w:rFonts w:hint="eastAsia" w:ascii="宋体" w:hAnsi="宋体" w:eastAsia="宋体" w:cs="宋体"/>
          <w:i w:val="0"/>
          <w:iCs w:val="0"/>
          <w:caps w:val="0"/>
          <w:color w:val="000000"/>
          <w:spacing w:val="0"/>
          <w:kern w:val="0"/>
          <w:sz w:val="28"/>
          <w:szCs w:val="28"/>
          <w:bdr w:val="none" w:color="auto" w:sz="0" w:space="0"/>
          <w:lang w:val="en-US" w:eastAsia="zh-CN" w:bidi="ar"/>
        </w:rPr>
        <w:t> </w:t>
      </w:r>
    </w:p>
    <w:p w14:paraId="35F9F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center"/>
        <w:rPr>
          <w:rFonts w:hint="eastAsia" w:ascii="等线" w:hAnsi="等线" w:eastAsia="等线" w:cs="等线"/>
          <w:color w:val="000000"/>
          <w:sz w:val="21"/>
          <w:szCs w:val="21"/>
        </w:rPr>
      </w:pPr>
      <w:r>
        <w:rPr>
          <w:rFonts w:ascii="方正小标宋_GBK" w:hAnsi="方正小标宋_GBK" w:eastAsia="方正小标宋_GBK" w:cs="方正小标宋_GBK"/>
          <w:i w:val="0"/>
          <w:iCs w:val="0"/>
          <w:caps w:val="0"/>
          <w:color w:val="000000"/>
          <w:spacing w:val="0"/>
          <w:kern w:val="0"/>
          <w:sz w:val="36"/>
          <w:szCs w:val="36"/>
          <w:bdr w:val="none" w:color="auto" w:sz="0" w:space="0"/>
          <w:lang w:val="en-US" w:eastAsia="zh-CN" w:bidi="ar"/>
        </w:rPr>
        <w:t>2025年安徽省大学生跨文化能力大赛赛项规程</w:t>
      </w:r>
    </w:p>
    <w:p w14:paraId="19B2E8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 </w:t>
      </w:r>
    </w:p>
    <w:p w14:paraId="1FD29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一、赛项名称</w:t>
      </w:r>
    </w:p>
    <w:p w14:paraId="48F5E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赛项名称：安徽省大学生跨文化能力大赛</w:t>
      </w:r>
    </w:p>
    <w:p w14:paraId="671A5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both"/>
        <w:rPr>
          <w:rFonts w:hint="default" w:ascii="Times New Roman" w:hAnsi="Times New Roman" w:eastAsia="等线" w:cs="Times New Roman"/>
          <w:color w:val="000000"/>
          <w:sz w:val="21"/>
          <w:szCs w:val="21"/>
        </w:rPr>
      </w:pPr>
      <w:bookmarkStart w:id="0" w:name="_GoBack"/>
      <w:bookmarkEnd w:id="0"/>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英文名称：</w:t>
      </w:r>
      <w:r>
        <w:rPr>
          <w:rFonts w:hint="default" w:ascii="Times New Roman" w:hAnsi="Times New Roman" w:eastAsia="仿宋" w:cs="Times New Roman"/>
          <w:i w:val="0"/>
          <w:iCs w:val="0"/>
          <w:caps w:val="0"/>
          <w:color w:val="000000"/>
          <w:spacing w:val="0"/>
          <w:kern w:val="0"/>
          <w:sz w:val="28"/>
          <w:szCs w:val="28"/>
          <w:bdr w:val="none" w:color="auto" w:sz="0" w:space="0"/>
          <w:lang w:val="en-US" w:eastAsia="zh-CN" w:bidi="ar"/>
        </w:rPr>
        <w:t>College Students’</w:t>
      </w:r>
      <w:r>
        <w:rPr>
          <w:rFonts w:hint="default" w:ascii="Times New Roman" w:hAnsi="Times New Roman" w:eastAsia="仿宋_GB2312" w:cs="Times New Roman"/>
          <w:i w:val="0"/>
          <w:iCs w:val="0"/>
          <w:caps w:val="0"/>
          <w:color w:val="000000"/>
          <w:spacing w:val="0"/>
          <w:kern w:val="0"/>
          <w:sz w:val="28"/>
          <w:szCs w:val="28"/>
          <w:bdr w:val="none" w:color="auto" w:sz="0" w:space="0"/>
          <w:lang w:val="en-US" w:eastAsia="zh-CN" w:bidi="ar"/>
        </w:rPr>
        <w:t>Intercultural Competence Contest</w:t>
      </w:r>
      <w:r>
        <w:rPr>
          <w:rFonts w:hint="default" w:ascii="Times New Roman" w:hAnsi="Times New Roman" w:eastAsia="仿宋" w:cs="Times New Roman"/>
          <w:i w:val="0"/>
          <w:iCs w:val="0"/>
          <w:caps w:val="0"/>
          <w:color w:val="000000"/>
          <w:spacing w:val="0"/>
          <w:kern w:val="0"/>
          <w:sz w:val="28"/>
          <w:szCs w:val="28"/>
          <w:bdr w:val="none" w:color="auto" w:sz="0" w:space="0"/>
          <w:lang w:val="en-US" w:eastAsia="zh-CN" w:bidi="ar"/>
        </w:rPr>
        <w:t>（CSICC）</w:t>
      </w:r>
      <w:r>
        <w:rPr>
          <w:rFonts w:hint="default" w:ascii="Times New Roman" w:hAnsi="Times New Roman" w:eastAsia="仿宋_GB2312" w:cs="Times New Roman"/>
          <w:i w:val="0"/>
          <w:iCs w:val="0"/>
          <w:caps w:val="0"/>
          <w:color w:val="000000"/>
          <w:spacing w:val="0"/>
          <w:kern w:val="0"/>
          <w:sz w:val="28"/>
          <w:szCs w:val="28"/>
          <w:bdr w:val="none" w:color="auto" w:sz="0" w:space="0"/>
          <w:lang w:val="en-US" w:eastAsia="zh-CN" w:bidi="ar"/>
        </w:rPr>
        <w:t>of </w:t>
      </w:r>
      <w:r>
        <w:rPr>
          <w:rFonts w:hint="default" w:ascii="Times New Roman" w:hAnsi="Times New Roman" w:eastAsia="仿宋" w:cs="Times New Roman"/>
          <w:i w:val="0"/>
          <w:iCs w:val="0"/>
          <w:caps w:val="0"/>
          <w:color w:val="000000"/>
          <w:spacing w:val="0"/>
          <w:kern w:val="0"/>
          <w:sz w:val="28"/>
          <w:szCs w:val="28"/>
          <w:bdr w:val="none" w:color="auto" w:sz="0" w:space="0"/>
          <w:lang w:val="en-US" w:eastAsia="zh-CN" w:bidi="ar"/>
        </w:rPr>
        <w:t>Anhui Province</w:t>
      </w:r>
    </w:p>
    <w:p w14:paraId="531A36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赛项组别：本科组</w:t>
      </w:r>
    </w:p>
    <w:p w14:paraId="6187F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eastAsia" w:ascii="仿宋" w:hAnsi="仿宋" w:eastAsia="仿宋" w:cs="仿宋"/>
          <w:b/>
          <w:bCs/>
          <w:i w:val="0"/>
          <w:iCs w:val="0"/>
          <w:caps w:val="0"/>
          <w:color w:val="000000"/>
          <w:spacing w:val="0"/>
          <w:kern w:val="0"/>
          <w:sz w:val="28"/>
          <w:szCs w:val="28"/>
          <w:bdr w:val="none" w:color="auto" w:sz="0" w:space="0"/>
          <w:lang w:val="en-US" w:eastAsia="zh-CN" w:bidi="ar"/>
        </w:rPr>
        <w:t>二、</w:t>
      </w: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竞赛组织机构</w:t>
      </w:r>
    </w:p>
    <w:p w14:paraId="08DE5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主办单位：安徽省教育厅</w:t>
      </w:r>
    </w:p>
    <w:p w14:paraId="171C69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承办单位：安徽大学</w:t>
      </w:r>
    </w:p>
    <w:p w14:paraId="5CA40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技术支持：羚羊工业互联网平台</w:t>
      </w:r>
    </w:p>
    <w:p w14:paraId="3DB44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（一）组织委员会</w:t>
      </w:r>
    </w:p>
    <w:p w14:paraId="3E8B7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主任委员：</w:t>
      </w:r>
    </w:p>
    <w:p w14:paraId="24C00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刘业勋</w:t>
      </w:r>
      <w:r>
        <w:rPr>
          <w:rFonts w:hint="eastAsia" w:ascii="宋体" w:hAnsi="宋体" w:eastAsia="宋体" w:cs="宋体"/>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安徽省教育厅副厅长</w:t>
      </w:r>
    </w:p>
    <w:p w14:paraId="07C6BA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副主任委员：</w:t>
      </w:r>
    </w:p>
    <w:p w14:paraId="26760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高  原</w:t>
      </w:r>
      <w:r>
        <w:rPr>
          <w:rFonts w:hint="eastAsia" w:ascii="宋体" w:hAnsi="宋体" w:eastAsia="宋体" w:cs="宋体"/>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安徽省教育厅高教处处长</w:t>
      </w:r>
    </w:p>
    <w:p w14:paraId="4B7BC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黄志祥   安徽大学副校长</w:t>
      </w:r>
    </w:p>
    <w:p w14:paraId="5D17A9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委    员：</w:t>
      </w:r>
    </w:p>
    <w:p w14:paraId="316E9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苏  石</w:t>
      </w:r>
      <w:r>
        <w:rPr>
          <w:rFonts w:hint="eastAsia" w:ascii="宋体" w:hAnsi="宋体" w:eastAsia="宋体" w:cs="宋体"/>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安徽省教育厅高教处副处长</w:t>
      </w:r>
    </w:p>
    <w:p w14:paraId="2B18E2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李学俊</w:t>
      </w:r>
      <w:r>
        <w:rPr>
          <w:rFonts w:hint="eastAsia" w:ascii="宋体" w:hAnsi="宋体" w:eastAsia="宋体" w:cs="宋体"/>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安徽大学教务处处长</w:t>
      </w:r>
    </w:p>
    <w:p w14:paraId="2EB04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杨  勇   安徽大学创新创业学院院长</w:t>
      </w:r>
    </w:p>
    <w:p w14:paraId="7B62B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各参赛高校创新创业学院负责人、外语院系负责人</w:t>
      </w:r>
    </w:p>
    <w:p w14:paraId="6B60FD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（二）专家委员会</w:t>
      </w:r>
    </w:p>
    <w:p w14:paraId="6EC3F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主任委员：</w:t>
      </w:r>
    </w:p>
    <w:p w14:paraId="7BCF5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查明建   上海外国语大学教授、国务院学位委员会第八届外国语言文学学科评议组召集人</w:t>
      </w:r>
    </w:p>
    <w:p w14:paraId="4CDB7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委</w:t>
      </w:r>
      <w:r>
        <w:rPr>
          <w:rFonts w:hint="eastAsia" w:ascii="宋体" w:hAnsi="宋体" w:eastAsia="宋体" w:cs="宋体"/>
          <w:b/>
          <w:bCs/>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员：</w:t>
      </w:r>
    </w:p>
    <w:p w14:paraId="30302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程爱民</w:t>
      </w:r>
      <w:r>
        <w:rPr>
          <w:rFonts w:hint="eastAsia" w:ascii="宋体" w:hAnsi="宋体" w:eastAsia="宋体" w:cs="宋体"/>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南京大学教授</w:t>
      </w:r>
    </w:p>
    <w:p w14:paraId="39E50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张红玲</w:t>
      </w:r>
      <w:r>
        <w:rPr>
          <w:rFonts w:hint="eastAsia" w:ascii="宋体" w:hAnsi="宋体" w:eastAsia="宋体" w:cs="宋体"/>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上海外国语大学教授</w:t>
      </w:r>
    </w:p>
    <w:p w14:paraId="28482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彭仁忠</w:t>
      </w:r>
      <w:r>
        <w:rPr>
          <w:rFonts w:hint="eastAsia" w:ascii="宋体" w:hAnsi="宋体" w:eastAsia="宋体" w:cs="宋体"/>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华中科技大学教授</w:t>
      </w:r>
    </w:p>
    <w:p w14:paraId="0235B8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省内高校跨文化教学研究、国际文化交流领域具有副高及以上职称的相关专家</w:t>
      </w:r>
    </w:p>
    <w:p w14:paraId="28955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（三）仲裁委员会</w:t>
      </w:r>
    </w:p>
    <w:p w14:paraId="0234D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主任委员：</w:t>
      </w:r>
    </w:p>
    <w:p w14:paraId="0C78A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朱欣春   中共安徽大学纪律检查委员会副书记</w:t>
      </w:r>
    </w:p>
    <w:p w14:paraId="41AD8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委    员：</w:t>
      </w:r>
    </w:p>
    <w:p w14:paraId="29CFE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吴卫平   武汉理工大学教授</w:t>
      </w:r>
    </w:p>
    <w:p w14:paraId="174CA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王一安   杭州电子科技大学教授</w:t>
      </w:r>
    </w:p>
    <w:p w14:paraId="42C9E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（四）秘书处</w:t>
      </w:r>
    </w:p>
    <w:p w14:paraId="6C524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组委会秘书处设在安徽大学外语学院，负责大赛的组织实施。</w:t>
      </w:r>
    </w:p>
    <w:p w14:paraId="38228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秘书长：</w:t>
      </w:r>
    </w:p>
    <w:p w14:paraId="03704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詹全旺   安徽大学外语学院院长</w:t>
      </w:r>
    </w:p>
    <w:p w14:paraId="2AF8BC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执行秘书长：</w:t>
      </w:r>
    </w:p>
    <w:p w14:paraId="7D4B6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戚  涛   安徽大学外语学院教授、安徽省比较文学学会会长</w:t>
      </w:r>
    </w:p>
    <w:p w14:paraId="2B82C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5"/>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副秘书长：</w:t>
      </w:r>
    </w:p>
    <w:p w14:paraId="77FBE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卢志宏   安徽大学外语学院副院长</w:t>
      </w:r>
    </w:p>
    <w:p w14:paraId="77463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2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阮晓蕾</w:t>
      </w:r>
      <w:r>
        <w:rPr>
          <w:rFonts w:hint="eastAsia" w:ascii="宋体" w:hAnsi="宋体" w:eastAsia="宋体" w:cs="宋体"/>
          <w:i w:val="0"/>
          <w:iCs w:val="0"/>
          <w:caps w:val="0"/>
          <w:color w:val="000000"/>
          <w:spacing w:val="0"/>
          <w:kern w:val="0"/>
          <w:sz w:val="28"/>
          <w:szCs w:val="28"/>
          <w:bdr w:val="none" w:color="auto" w:sz="0" w:space="0"/>
          <w:lang w:val="en-US" w:eastAsia="zh-CN" w:bidi="ar"/>
        </w:rPr>
        <w:t>   </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安徽大学大学外语教学部副主任</w:t>
      </w:r>
    </w:p>
    <w:p w14:paraId="5C6EC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三、竞赛目的</w:t>
      </w:r>
    </w:p>
    <w:p w14:paraId="5CA75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大赛以党的二十大报告精神和习近平新时代中国特色社会主义思想为指导，旨在深入贯彻落实立德树人根本任务，推进“三进”工作落深、落实，服务高等教育高质量发展，为高校师生提供一个展示跨文化交际能力、交流跨文化教学经验的平台，实现以赛促学、以赛促教、以赛促研、以赛促建；充分发挥大赛的育人功能，促进高等学校人才培养模式创新，为讲好中国故事安徽篇章和做好徽风皖韵外语诠释，培养更多具有中国情怀、国际视野、专业本领、跨文化交际能力和全球胜任力的复合型国际化人才。</w:t>
      </w:r>
    </w:p>
    <w:p w14:paraId="442AF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四、竞赛内容</w:t>
      </w:r>
    </w:p>
    <w:p w14:paraId="521EDE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（一）竞赛内容</w:t>
      </w:r>
    </w:p>
    <w:p w14:paraId="4A003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ascii="华文仿宋" w:hAnsi="华文仿宋" w:eastAsia="华文仿宋" w:cs="华文仿宋"/>
          <w:i w:val="0"/>
          <w:iCs w:val="0"/>
          <w:caps w:val="0"/>
          <w:color w:val="000000"/>
          <w:spacing w:val="0"/>
          <w:kern w:val="0"/>
          <w:sz w:val="28"/>
          <w:szCs w:val="28"/>
          <w:bdr w:val="none" w:color="auto" w:sz="0" w:space="0"/>
          <w:lang w:val="en-US" w:eastAsia="zh-CN" w:bidi="ar"/>
        </w:rPr>
        <w:t>校赛（初赛）内容包括案例开发与展析。参赛团队围绕</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多元文化生活”“公共外交”“商务沟通”三个主题中的一个，根据团队成员自身经历、观察或阅读，共同开发编写与主题相关、具有原创性的跨文化交际案例，通过会话、访谈、角色扮演、情景剧等不同展现形式配合使用PPT等演示工具进行案例展示，展示后运用跨文化交际相关概念和理论进行案例分析并提出解决方案或建议。展示分析总时间不少于8分钟、不超过10分钟。</w:t>
      </w:r>
    </w:p>
    <w:p w14:paraId="35409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省赛包含复赛和决赛两个阶段。省赛复赛为案例展示评审，参赛团队进行案例展示分析，评审专家对各参赛团队的展析表现进行评审，根据评分高低和获奖比例产生决赛入围名单。参赛队不足20队的组别合并复决赛，在决赛日举行比赛。</w:t>
      </w:r>
    </w:p>
    <w:p w14:paraId="178DE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省赛决赛为现场比赛，内容包括案例开发与展析、情境述评（含回答评委提问）等。</w:t>
      </w:r>
      <w:r>
        <w:rPr>
          <w:rFonts w:hint="eastAsia" w:ascii="华文仿宋" w:hAnsi="华文仿宋" w:eastAsia="华文仿宋" w:cs="华文仿宋"/>
          <w:b/>
          <w:bCs/>
          <w:i w:val="0"/>
          <w:iCs w:val="0"/>
          <w:caps w:val="0"/>
          <w:color w:val="000000"/>
          <w:spacing w:val="0"/>
          <w:kern w:val="0"/>
          <w:sz w:val="28"/>
          <w:szCs w:val="28"/>
          <w:bdr w:val="none" w:color="auto" w:sz="0" w:space="0"/>
          <w:lang w:val="en-US" w:eastAsia="zh-CN" w:bidi="ar"/>
        </w:rPr>
        <w:t>案例开发与展析</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环节，参赛团队成员现场展示案例。展现形式不限，要求自然、合理，能生动、清晰展示案例内容。参赛团队运用跨文化交际相关概念和理论，对案例中的跨文化现象和问题等进行分析。展析结束，不需要回答提问。案例展析总时间不少于8分钟、不超过10分钟。</w:t>
      </w:r>
    </w:p>
    <w:p w14:paraId="7BCCE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华文仿宋" w:hAnsi="华文仿宋" w:eastAsia="华文仿宋" w:cs="华文仿宋"/>
          <w:b/>
          <w:bCs/>
          <w:i w:val="0"/>
          <w:iCs w:val="0"/>
          <w:caps w:val="0"/>
          <w:color w:val="000000"/>
          <w:spacing w:val="0"/>
          <w:kern w:val="0"/>
          <w:sz w:val="28"/>
          <w:szCs w:val="28"/>
          <w:bdr w:val="none" w:color="auto" w:sz="0" w:space="0"/>
          <w:lang w:val="en-US" w:eastAsia="zh-CN" w:bidi="ar"/>
        </w:rPr>
        <w:t>情境述评</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环节（英语组、国际中文组适用），参赛团队提前抽取由组委会提供的比赛视频，在备赛室进行30分钟准备，由3名团队成员共同合作，鉴别大赛视频材料中的文化关键事件，并运用恰当的跨文化情感态度和知识对关键事件进行有效的剖析和解读。备赛结束后，参赛团队进入赛场，对视频内容进行跨文化解读和分析，时间不少于6分钟、不超过8分钟。随后，评委针对参赛团队述评内容进行提问，由一名团队成员回答，时间为2分钟。</w:t>
      </w:r>
    </w:p>
    <w:p w14:paraId="4FD7A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团队赛在决赛过程中，各团队成员需分工合作，不得由同一名成员承担所有比赛任务。</w:t>
      </w:r>
    </w:p>
    <w:p w14:paraId="1A35B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个人赛的校赛和省赛内容一致，包括名言名句解读、讲述中国故事。</w:t>
      </w:r>
      <w:r>
        <w:rPr>
          <w:rFonts w:hint="eastAsia" w:ascii="华文仿宋" w:hAnsi="华文仿宋" w:eastAsia="华文仿宋" w:cs="华文仿宋"/>
          <w:b/>
          <w:bCs/>
          <w:i w:val="0"/>
          <w:iCs w:val="0"/>
          <w:caps w:val="0"/>
          <w:color w:val="000000"/>
          <w:spacing w:val="0"/>
          <w:kern w:val="0"/>
          <w:sz w:val="28"/>
          <w:szCs w:val="28"/>
          <w:bdr w:val="none" w:color="auto" w:sz="0" w:space="0"/>
          <w:lang w:val="en-US" w:eastAsia="zh-CN" w:bidi="ar"/>
        </w:rPr>
        <w:t>名言名句解读</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环节，由组委会提供一则跨文化相关的名言名句，由参赛选手进行解读，时间为2分钟（含思考准备时间）。</w:t>
      </w:r>
      <w:r>
        <w:rPr>
          <w:rFonts w:hint="eastAsia" w:ascii="华文仿宋" w:hAnsi="华文仿宋" w:eastAsia="华文仿宋" w:cs="华文仿宋"/>
          <w:b/>
          <w:bCs/>
          <w:i w:val="0"/>
          <w:iCs w:val="0"/>
          <w:caps w:val="0"/>
          <w:color w:val="000000"/>
          <w:spacing w:val="0"/>
          <w:kern w:val="0"/>
          <w:sz w:val="28"/>
          <w:szCs w:val="28"/>
          <w:bdr w:val="none" w:color="auto" w:sz="0" w:space="0"/>
          <w:lang w:val="en-US" w:eastAsia="zh-CN" w:bidi="ar"/>
        </w:rPr>
        <w:t>讲述中国故事</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环节，参赛选手根据组委会提供的一个讲述中国故事的题目，展开讲述，时间为3分钟（含思考准备时间）。</w:t>
      </w:r>
    </w:p>
    <w:p w14:paraId="7968B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8" w:lineRule="atLeast"/>
        <w:ind w:left="0" w:right="0" w:firstLine="560"/>
        <w:jc w:val="left"/>
        <w:rPr>
          <w:rFonts w:hint="eastAsia" w:ascii="等线" w:hAnsi="等线" w:eastAsia="等线" w:cs="等线"/>
          <w:color w:val="000000"/>
          <w:sz w:val="21"/>
          <w:szCs w:val="21"/>
        </w:rPr>
      </w:pP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比赛计时以主持人“计时开始”口令为起点、以主持人“时间到”口令为结束。</w:t>
      </w:r>
    </w:p>
    <w:p w14:paraId="6E99A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（二）竞赛方案</w:t>
      </w:r>
    </w:p>
    <w:p w14:paraId="0C6E4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校赛（初赛）</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由各参赛高校参照省赛要求自行组织，最终每校按名额推荐参赛选手报名参加省赛</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w:t>
      </w:r>
    </w:p>
    <w:p w14:paraId="5BB5A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省赛由大赛组委会统一组织，团队赛分为复赛和决赛两个阶段，</w:t>
      </w:r>
      <w:r>
        <w:rPr>
          <w:rFonts w:hint="eastAsia" w:ascii="仿宋" w:hAnsi="仿宋" w:eastAsia="仿宋" w:cs="仿宋"/>
          <w:i w:val="0"/>
          <w:iCs w:val="0"/>
          <w:caps w:val="0"/>
          <w:color w:val="000000"/>
          <w:spacing w:val="0"/>
          <w:kern w:val="0"/>
          <w:sz w:val="28"/>
          <w:szCs w:val="28"/>
          <w:bdr w:val="none" w:color="auto" w:sz="0" w:space="0"/>
          <w:lang w:val="en-US" w:eastAsia="zh-CN" w:bidi="ar"/>
        </w:rPr>
        <w:t>复赛</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成绩前60%的参赛团队进入</w:t>
      </w:r>
      <w:r>
        <w:rPr>
          <w:rFonts w:hint="eastAsia" w:ascii="仿宋" w:hAnsi="仿宋" w:eastAsia="仿宋" w:cs="仿宋"/>
          <w:i w:val="0"/>
          <w:iCs w:val="0"/>
          <w:caps w:val="0"/>
          <w:color w:val="000000"/>
          <w:spacing w:val="0"/>
          <w:kern w:val="0"/>
          <w:sz w:val="28"/>
          <w:szCs w:val="28"/>
          <w:bdr w:val="none" w:color="auto" w:sz="0" w:space="0"/>
          <w:lang w:val="en-US" w:eastAsia="zh-CN" w:bidi="ar"/>
        </w:rPr>
        <w:t>决赛</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，决赛总成绩排名后评出一、二、三等奖。个人赛直接进行决赛，根据成绩和获奖比例评出一、二、三等奖。</w:t>
      </w:r>
    </w:p>
    <w:p w14:paraId="1EDD9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五、竞赛方式</w:t>
      </w:r>
    </w:p>
    <w:p w14:paraId="36BCE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（一）校赛</w:t>
      </w:r>
    </w:p>
    <w:p w14:paraId="5B172F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组织机构：各高校学科竞赛主管部门或外语教学单位负责组织实施。</w:t>
      </w:r>
    </w:p>
    <w:p w14:paraId="7366B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组织方式：各参赛高校应组织开展初赛选拔，所有符合报名条件的本校学生均可按比赛规则报名参加团队赛或个人赛，未经公开选拔或公示的团队和选手，不得晋级省赛。</w:t>
      </w:r>
    </w:p>
    <w:p w14:paraId="51B18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初赛时间：各高校自行确定，在省赛报名截止前完成。</w:t>
      </w:r>
    </w:p>
    <w:p w14:paraId="0E4FC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初赛地点：各参赛高校校内。</w:t>
      </w:r>
    </w:p>
    <w:p w14:paraId="5A672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（二）省赛</w:t>
      </w:r>
    </w:p>
    <w:p w14:paraId="65BC3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组织机构：2025年安徽省大学生跨文化能力大赛组委会</w:t>
      </w:r>
    </w:p>
    <w:p w14:paraId="62DB5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组织方式：大赛组委会通过大赛网站向全省高等院校发布比赛通知，保证各校都有公平的参赛机会。</w:t>
      </w:r>
    </w:p>
    <w:p w14:paraId="73A4F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省赛名额：团队赛以1个团队计作1个名额，个人赛以1名选手计作1个名额。关键语种实行隔年举办，2025年为德语、西班牙语，参赛名额根据专业开设数适当增加。未报名视作放弃名额。</w:t>
      </w:r>
    </w:p>
    <w:p w14:paraId="2DD6C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团队赛：</w:t>
      </w:r>
    </w:p>
    <w:p w14:paraId="3AF22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英语A组，各参赛高校1个名额；</w:t>
      </w:r>
    </w:p>
    <w:p w14:paraId="319E3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英语B组，各参赛高校1个名额；</w:t>
      </w:r>
    </w:p>
    <w:p w14:paraId="614A6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日语组，各参赛高校1个名额；</w:t>
      </w:r>
    </w:p>
    <w:p w14:paraId="56DF5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德语组，各参赛高校2个名额；</w:t>
      </w:r>
    </w:p>
    <w:p w14:paraId="24F09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西班牙语组，各参赛高校2个名额；</w:t>
      </w:r>
    </w:p>
    <w:p w14:paraId="0E19E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国际中文组，各参赛高校1个名额；</w:t>
      </w:r>
    </w:p>
    <w:p w14:paraId="48C92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个人赛：各参赛高校2个名额。</w:t>
      </w:r>
    </w:p>
    <w:p w14:paraId="636E4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为鼓励新时代青年学子积极参与“传播中国 代言安徽”的跨文化实践活动同时为其提供更多省赛参赛机会充分发挥学科竞赛的育人功能，个人赛开通全国跨文化能力考试绿色通道，具体晋级规则为：在2024年11月和2025年5月举办的全国跨文化能力考试中获初级优秀且不低于260分、中级良好及以上且不低于220分、高级合格及以上且不低于180分的考生，获得个人赛绿色通道报名资格，不占用参赛高校原有名额。组委会从报名绿色通道的考生中，根据考试等级和分数从高到低取前20名，额满为止、空缺不补，出现同级同分按并列晋级，超额全录。</w:t>
      </w:r>
    </w:p>
    <w:p w14:paraId="09D16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决赛时间：2025年6月21-22日</w:t>
      </w:r>
      <w:r>
        <w:rPr>
          <w:rFonts w:hint="eastAsia" w:ascii="仿宋" w:hAnsi="仿宋" w:eastAsia="仿宋" w:cs="仿宋"/>
          <w:i w:val="0"/>
          <w:iCs w:val="0"/>
          <w:caps w:val="0"/>
          <w:color w:val="000000"/>
          <w:spacing w:val="0"/>
          <w:kern w:val="0"/>
          <w:sz w:val="28"/>
          <w:szCs w:val="28"/>
          <w:bdr w:val="none" w:color="auto" w:sz="0" w:space="0"/>
          <w:lang w:val="en-US" w:eastAsia="zh-CN" w:bidi="ar"/>
        </w:rPr>
        <w:t>（日语、德语、西班牙语团队赛）</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、6月28日</w:t>
      </w:r>
      <w:r>
        <w:rPr>
          <w:rFonts w:hint="eastAsia" w:ascii="仿宋" w:hAnsi="仿宋" w:eastAsia="仿宋" w:cs="仿宋"/>
          <w:i w:val="0"/>
          <w:iCs w:val="0"/>
          <w:caps w:val="0"/>
          <w:color w:val="000000"/>
          <w:spacing w:val="0"/>
          <w:kern w:val="0"/>
          <w:sz w:val="28"/>
          <w:szCs w:val="28"/>
          <w:bdr w:val="none" w:color="auto" w:sz="0" w:space="0"/>
          <w:lang w:val="en-US" w:eastAsia="zh-CN" w:bidi="ar"/>
        </w:rPr>
        <w:t>（国际中文团队赛）、6月29日（个人赛）、7月5-6日（英语团队赛）</w:t>
      </w:r>
    </w:p>
    <w:p w14:paraId="57303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决赛地点：安徽大学（决赛通知另发）</w:t>
      </w:r>
    </w:p>
    <w:p w14:paraId="50879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六、竞赛流程</w:t>
      </w:r>
    </w:p>
    <w:tbl>
      <w:tblPr>
        <w:tblW w:w="861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8"/>
        <w:gridCol w:w="2551"/>
        <w:gridCol w:w="2693"/>
        <w:gridCol w:w="1701"/>
      </w:tblGrid>
      <w:tr w14:paraId="27AE7F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68" w:type="dxa"/>
            <w:tcBorders>
              <w:top w:val="single" w:color="auto" w:sz="12" w:space="0"/>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14:paraId="7A239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日期</w:t>
            </w:r>
          </w:p>
        </w:tc>
        <w:tc>
          <w:tcPr>
            <w:tcW w:w="2551"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14:paraId="0EC5D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赛程</w:t>
            </w:r>
          </w:p>
        </w:tc>
        <w:tc>
          <w:tcPr>
            <w:tcW w:w="2693"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14:paraId="12436D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竞赛环节</w:t>
            </w:r>
          </w:p>
        </w:tc>
        <w:tc>
          <w:tcPr>
            <w:tcW w:w="1701"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14:paraId="6E16F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具体时间</w:t>
            </w:r>
          </w:p>
        </w:tc>
      </w:tr>
      <w:tr w14:paraId="2F0224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68"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14:paraId="02F696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5月30日前</w:t>
            </w:r>
          </w:p>
        </w:tc>
        <w:tc>
          <w:tcPr>
            <w:tcW w:w="255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631B5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校赛（初赛）</w:t>
            </w:r>
          </w:p>
        </w:tc>
        <w:tc>
          <w:tcPr>
            <w:tcW w:w="2693"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3F9B4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校内选拔</w:t>
            </w:r>
          </w:p>
        </w:tc>
        <w:tc>
          <w:tcPr>
            <w:tcW w:w="170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43F335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自定</w:t>
            </w:r>
          </w:p>
        </w:tc>
      </w:tr>
      <w:tr w14:paraId="299768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68"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14:paraId="7E6E8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5月30日前</w:t>
            </w:r>
          </w:p>
        </w:tc>
        <w:tc>
          <w:tcPr>
            <w:tcW w:w="255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4C07F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省赛报名</w:t>
            </w:r>
          </w:p>
        </w:tc>
        <w:tc>
          <w:tcPr>
            <w:tcW w:w="2693"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2880D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提交报名表</w:t>
            </w:r>
          </w:p>
        </w:tc>
        <w:tc>
          <w:tcPr>
            <w:tcW w:w="170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20A33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30日23:59前</w:t>
            </w:r>
          </w:p>
        </w:tc>
      </w:tr>
      <w:tr w14:paraId="5E6CCD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68"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14:paraId="0F84B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6月7-8日</w:t>
            </w:r>
          </w:p>
        </w:tc>
        <w:tc>
          <w:tcPr>
            <w:tcW w:w="255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6A325C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省赛复赛（团队赛案例展示评审）</w:t>
            </w:r>
          </w:p>
        </w:tc>
        <w:tc>
          <w:tcPr>
            <w:tcW w:w="2693"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54DD6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案例展示评审，决赛前发布入围名单</w:t>
            </w:r>
          </w:p>
        </w:tc>
        <w:tc>
          <w:tcPr>
            <w:tcW w:w="170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63143A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8:00-17:00</w:t>
            </w:r>
          </w:p>
        </w:tc>
      </w:tr>
      <w:tr w14:paraId="33C18E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68"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14:paraId="09C7E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6月21-22日</w:t>
            </w:r>
          </w:p>
        </w:tc>
        <w:tc>
          <w:tcPr>
            <w:tcW w:w="255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3B7B9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省赛决赛（日语、德语、西班牙语团队赛）</w:t>
            </w:r>
          </w:p>
        </w:tc>
        <w:tc>
          <w:tcPr>
            <w:tcW w:w="2693"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40893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案例开发与展析</w:t>
            </w:r>
          </w:p>
        </w:tc>
        <w:tc>
          <w:tcPr>
            <w:tcW w:w="170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7F5A6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8:00-17:00</w:t>
            </w:r>
          </w:p>
        </w:tc>
      </w:tr>
      <w:tr w14:paraId="4CC91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68"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14:paraId="0238F4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6月28日</w:t>
            </w:r>
          </w:p>
        </w:tc>
        <w:tc>
          <w:tcPr>
            <w:tcW w:w="255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7C88B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省赛决赛（国际中文团队赛）</w:t>
            </w:r>
          </w:p>
        </w:tc>
        <w:tc>
          <w:tcPr>
            <w:tcW w:w="2693"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334C6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案例开发与展析、情境述评</w:t>
            </w:r>
          </w:p>
        </w:tc>
        <w:tc>
          <w:tcPr>
            <w:tcW w:w="170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38483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8:00-17:00</w:t>
            </w:r>
          </w:p>
        </w:tc>
      </w:tr>
      <w:tr w14:paraId="4583B7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68"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14:paraId="2051A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6月29日</w:t>
            </w:r>
          </w:p>
        </w:tc>
        <w:tc>
          <w:tcPr>
            <w:tcW w:w="255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3449D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省赛决赛（个人赛）</w:t>
            </w:r>
          </w:p>
        </w:tc>
        <w:tc>
          <w:tcPr>
            <w:tcW w:w="2693"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1C5CA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名言名句解读、讲述中国故事</w:t>
            </w:r>
          </w:p>
        </w:tc>
        <w:tc>
          <w:tcPr>
            <w:tcW w:w="170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6440A6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8:00-17:00</w:t>
            </w:r>
          </w:p>
        </w:tc>
      </w:tr>
      <w:tr w14:paraId="26BC6D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68"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14:paraId="54AC8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7月5-6日</w:t>
            </w:r>
          </w:p>
        </w:tc>
        <w:tc>
          <w:tcPr>
            <w:tcW w:w="255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44E6C2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省赛决赛（英语团队赛）</w:t>
            </w:r>
          </w:p>
        </w:tc>
        <w:tc>
          <w:tcPr>
            <w:tcW w:w="2693"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5B8D09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案例开发与展析、情境述评</w:t>
            </w:r>
          </w:p>
        </w:tc>
        <w:tc>
          <w:tcPr>
            <w:tcW w:w="170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14:paraId="2C1E3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eastAsia" w:ascii="仿宋" w:hAnsi="仿宋" w:eastAsia="仿宋" w:cs="仿宋"/>
                <w:kern w:val="0"/>
                <w:sz w:val="24"/>
                <w:szCs w:val="24"/>
                <w:bdr w:val="none" w:color="auto" w:sz="0" w:space="0"/>
                <w:lang w:val="en-US" w:eastAsia="zh-CN" w:bidi="ar"/>
              </w:rPr>
              <w:t>8:00-17:00</w:t>
            </w:r>
          </w:p>
        </w:tc>
      </w:tr>
    </w:tbl>
    <w:p w14:paraId="326B52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七、竞赛试题</w:t>
      </w:r>
    </w:p>
    <w:p w14:paraId="73D93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参赛案例由参赛团队自主开发编写，案例文本写作要求请参考《第八届“外教社杯”全国高校学生跨文化能力大赛章程》相关内容（见下图）；情境述评、名言名句解读和讲述中国故事的赛题由大赛组委会提供，在决赛前严格保密。</w:t>
      </w:r>
    </w:p>
    <w:p w14:paraId="78193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等线" w:hAnsi="等线" w:eastAsia="等线" w:cs="等线"/>
          <w:color w:val="000000"/>
          <w:sz w:val="21"/>
          <w:szCs w:val="21"/>
        </w:rPr>
      </w:pPr>
      <w:r>
        <w:rPr>
          <w:rFonts w:hint="eastAsia" w:ascii="等线" w:hAnsi="等线" w:eastAsia="等线" w:cs="等线"/>
          <w:i w:val="0"/>
          <w:iCs w:val="0"/>
          <w:caps w:val="0"/>
          <w:color w:val="000000"/>
          <w:spacing w:val="0"/>
          <w:kern w:val="0"/>
          <w:sz w:val="21"/>
          <w:szCs w:val="21"/>
          <w:bdr w:val="none" w:color="auto" w:sz="0" w:space="0"/>
          <w:lang w:val="en-US" w:eastAsia="zh-CN" w:bidi="ar"/>
        </w:rPr>
        <w:drawing>
          <wp:inline distT="0" distB="0" distL="114300" distR="114300">
            <wp:extent cx="5272405" cy="3803015"/>
            <wp:effectExtent l="0" t="0" r="4445" b="698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4"/>
                    <a:stretch>
                      <a:fillRect/>
                    </a:stretch>
                  </pic:blipFill>
                  <pic:spPr>
                    <a:xfrm>
                      <a:off x="0" y="0"/>
                      <a:ext cx="5272405" cy="3803015"/>
                    </a:xfrm>
                    <a:prstGeom prst="rect">
                      <a:avLst/>
                    </a:prstGeom>
                    <a:noFill/>
                    <a:ln w="9525">
                      <a:noFill/>
                    </a:ln>
                  </pic:spPr>
                </pic:pic>
              </a:graphicData>
            </a:graphic>
          </wp:inline>
        </w:drawing>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 </w:t>
      </w:r>
    </w:p>
    <w:p w14:paraId="52616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begin"/>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instrText xml:space="preserve"> HYPERLINK "https://ict.sflep.com/index.php?m=content&amp;c=index&amp;a=lists&amp;catid=49" </w:instrText>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separate"/>
      </w:r>
      <w:r>
        <w:rPr>
          <w:rStyle w:val="6"/>
          <w:rFonts w:hint="default" w:ascii="Times New Roman" w:hAnsi="Times New Roman" w:eastAsia="等线" w:cs="Times New Roman"/>
          <w:i w:val="0"/>
          <w:iCs w:val="0"/>
          <w:caps w:val="0"/>
          <w:color w:val="333333"/>
          <w:spacing w:val="0"/>
          <w:sz w:val="28"/>
          <w:szCs w:val="28"/>
          <w:u w:val="single"/>
          <w:bdr w:val="none" w:color="auto" w:sz="0" w:space="0"/>
        </w:rPr>
        <w:t>https://ict.sflep.com/index.php?m=content&amp;c=index&amp;a=lists&amp;catid=49</w:t>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end"/>
      </w:r>
      <w:r>
        <w:rPr>
          <w:rFonts w:hint="eastAsia" w:ascii="仿宋" w:hAnsi="仿宋" w:eastAsia="仿宋" w:cs="仿宋"/>
          <w:i w:val="0"/>
          <w:iCs w:val="0"/>
          <w:caps w:val="0"/>
          <w:color w:val="000000"/>
          <w:spacing w:val="0"/>
          <w:kern w:val="0"/>
          <w:sz w:val="28"/>
          <w:szCs w:val="28"/>
          <w:bdr w:val="none" w:color="auto" w:sz="0" w:space="0"/>
          <w:lang w:val="en-US" w:eastAsia="zh-CN" w:bidi="ar"/>
        </w:rPr>
        <w:t>可查阅国赛章程。</w:t>
      </w:r>
    </w:p>
    <w:p w14:paraId="45D99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八、竞赛规则</w:t>
      </w:r>
    </w:p>
    <w:p w14:paraId="64F72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（一）报名资格</w:t>
      </w:r>
    </w:p>
    <w:p w14:paraId="26F7F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全省高校全日制本科（含专升本的本科段、职教本科）在读学生均可报名参赛，往届全国赛一等奖及以上的获奖选手不可重复参赛。</w:t>
      </w:r>
    </w:p>
    <w:p w14:paraId="2E246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英语A组</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参赛语种为英语（比赛现场使用英语口语，案例正文和标题均用英文撰写，不需要中英双语），每个团队由1名英语类（英语、英语（师范）、商务英语、翻译）专业本科生和2名非英语类专业本科生组成。未开设英语类专业的高校可由3名非英语类专业本科生组成。</w:t>
      </w:r>
    </w:p>
    <w:p w14:paraId="7A69F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英语B组</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参赛语种为英语（比赛现场使用英语口语，案例正文和标题均用英文撰写，不需要中英双语），每个团队由3名学生组成，其中英语类（英语、英语（师范）、商务英语、翻译）专业学生至多1名，其余成员为非外语类专业学生。未开设英语类专业的高校则由3名非外语类专业学生组成。允许研究生参与组队，每队至多1名研究生。</w:t>
      </w:r>
    </w:p>
    <w:p w14:paraId="5E959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日语组</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，参赛语种为日语（比赛现场使用日语口语，案例正文用日语撰写，案例标题用中日双语），每个团队由3名本科生组成，专业不限。</w:t>
      </w:r>
    </w:p>
    <w:p w14:paraId="018E0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德语组</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，参赛语种为德语（比赛现场使用德语口语，案例正文用德语撰写，案例标题用中德双语），每个团队由3名本科生组成，专业不限。</w:t>
      </w:r>
    </w:p>
    <w:p w14:paraId="72574D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西班牙语组</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，参赛语种为西班牙语（比赛现场使用西班牙语口语，案例正文用西班牙语撰写，案例标题用中西双语），每个团队由3名本科生组成，专业不限。</w:t>
      </w:r>
    </w:p>
    <w:p w14:paraId="263BD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国际中文组</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，参赛语种为汉语（比赛现场使用汉语口语，案例正文和标题均用汉语撰写），每个团队由3名国际学生组成，专业、年级不限。</w:t>
      </w:r>
    </w:p>
    <w:p w14:paraId="67DFC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个人赛</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，参赛语种为英语，学生以个人形式报名参赛，可同时报名团队赛和个人赛，也可只报名个人赛，专业、年级不限。</w:t>
      </w:r>
    </w:p>
    <w:p w14:paraId="667D1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（二）报名要求</w:t>
      </w:r>
    </w:p>
    <w:p w14:paraId="37383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每校可为每位选手安排</w:t>
      </w:r>
      <w:r>
        <w:rPr>
          <w:rFonts w:hint="eastAsia" w:ascii="仿宋" w:hAnsi="仿宋" w:eastAsia="仿宋" w:cs="仿宋"/>
          <w:i w:val="0"/>
          <w:iCs w:val="0"/>
          <w:caps w:val="0"/>
          <w:color w:val="000000"/>
          <w:spacing w:val="0"/>
          <w:kern w:val="0"/>
          <w:sz w:val="28"/>
          <w:szCs w:val="28"/>
          <w:bdr w:val="none" w:color="auto" w:sz="0" w:space="0"/>
          <w:lang w:val="en-US" w:eastAsia="zh-CN" w:bidi="ar"/>
        </w:rPr>
        <w:t>1名指导教师，每个团队最多可有3名指导教师，具体指导选手赛前训练，指导教师不设语种、专业背景要求，报名之后指导教师不得更换，参赛选手可以无指导教师。</w:t>
      </w:r>
    </w:p>
    <w:p w14:paraId="2119A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为保证竞赛公平公正，</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竞赛组委会、专家委员会、仲裁委员会、秘书处成员及竞赛相关工作人员不得作为参赛指导教师。</w:t>
      </w:r>
    </w:p>
    <w:p w14:paraId="05075B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各参赛学校请于报名截止时间前将报名材料发送至报名邮箱，报名材料包括报名表</w:t>
      </w:r>
      <w:r>
        <w:rPr>
          <w:rFonts w:hint="eastAsia" w:ascii="仿宋" w:hAnsi="仿宋" w:eastAsia="仿宋" w:cs="仿宋"/>
          <w:i w:val="0"/>
          <w:iCs w:val="0"/>
          <w:caps w:val="0"/>
          <w:color w:val="000000"/>
          <w:spacing w:val="0"/>
          <w:kern w:val="0"/>
          <w:sz w:val="28"/>
          <w:szCs w:val="28"/>
          <w:bdr w:val="none" w:color="auto" w:sz="0" w:space="0"/>
          <w:lang w:val="en-US" w:eastAsia="zh-CN" w:bidi="ar"/>
        </w:rPr>
        <w:t>（附件1）</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和承诺书（附件2）。《</w:t>
      </w:r>
      <w:r>
        <w:rPr>
          <w:rFonts w:hint="eastAsia" w:ascii="仿宋" w:hAnsi="仿宋" w:eastAsia="仿宋" w:cs="仿宋"/>
          <w:i w:val="0"/>
          <w:iCs w:val="0"/>
          <w:caps w:val="0"/>
          <w:color w:val="000000"/>
          <w:spacing w:val="0"/>
          <w:kern w:val="0"/>
          <w:sz w:val="28"/>
          <w:szCs w:val="28"/>
          <w:bdr w:val="none" w:color="auto" w:sz="0" w:space="0"/>
          <w:lang w:val="en-US" w:eastAsia="zh-CN" w:bidi="ar"/>
        </w:rPr>
        <w:t>大赛报名表》要求提交</w:t>
      </w:r>
      <w:r>
        <w:rPr>
          <w:rFonts w:hint="eastAsia" w:ascii="仿宋" w:hAnsi="仿宋" w:eastAsia="仿宋" w:cs="仿宋"/>
          <w:b/>
          <w:bCs/>
          <w:i w:val="0"/>
          <w:iCs w:val="0"/>
          <w:caps w:val="0"/>
          <w:color w:val="000000"/>
          <w:spacing w:val="0"/>
          <w:kern w:val="0"/>
          <w:sz w:val="28"/>
          <w:szCs w:val="28"/>
          <w:bdr w:val="none" w:color="auto" w:sz="0" w:space="0"/>
          <w:lang w:val="en-US" w:eastAsia="zh-CN" w:bidi="ar"/>
        </w:rPr>
        <w:t>无章word版</w:t>
      </w:r>
      <w:r>
        <w:rPr>
          <w:rFonts w:hint="eastAsia" w:ascii="仿宋" w:hAnsi="仿宋" w:eastAsia="仿宋" w:cs="仿宋"/>
          <w:i w:val="0"/>
          <w:iCs w:val="0"/>
          <w:caps w:val="0"/>
          <w:color w:val="000000"/>
          <w:spacing w:val="0"/>
          <w:kern w:val="0"/>
          <w:sz w:val="28"/>
          <w:szCs w:val="28"/>
          <w:bdr w:val="none" w:color="auto" w:sz="0" w:space="0"/>
          <w:lang w:val="en-US" w:eastAsia="zh-CN" w:bidi="ar"/>
        </w:rPr>
        <w:t>和</w:t>
      </w:r>
      <w:r>
        <w:rPr>
          <w:rFonts w:hint="eastAsia" w:ascii="仿宋" w:hAnsi="仿宋" w:eastAsia="仿宋" w:cs="仿宋"/>
          <w:b/>
          <w:bCs/>
          <w:i w:val="0"/>
          <w:iCs w:val="0"/>
          <w:caps w:val="0"/>
          <w:color w:val="000000"/>
          <w:spacing w:val="0"/>
          <w:kern w:val="0"/>
          <w:sz w:val="28"/>
          <w:szCs w:val="28"/>
          <w:bdr w:val="none" w:color="auto" w:sz="0" w:space="0"/>
          <w:lang w:val="en-US" w:eastAsia="zh-CN" w:bidi="ar"/>
        </w:rPr>
        <w:t>打印后盖章扫描pdf版</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，可所有语种组别打包发送或按不同语种组别分别发送，邮件名称格式：（</w:t>
      </w:r>
      <w:r>
        <w:rPr>
          <w:rFonts w:hint="eastAsia" w:ascii="华文仿宋" w:hAnsi="华文仿宋" w:eastAsia="华文仿宋" w:cs="华文仿宋"/>
          <w:b/>
          <w:bCs/>
          <w:i w:val="0"/>
          <w:iCs w:val="0"/>
          <w:caps w:val="0"/>
          <w:color w:val="000000"/>
          <w:spacing w:val="0"/>
          <w:kern w:val="0"/>
          <w:sz w:val="28"/>
          <w:szCs w:val="28"/>
          <w:bdr w:val="none" w:color="auto" w:sz="0" w:space="0"/>
          <w:lang w:val="en-US" w:eastAsia="zh-CN" w:bidi="ar"/>
        </w:rPr>
        <w:t>组别）学校名称</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，如：</w:t>
      </w:r>
      <w:r>
        <w:rPr>
          <w:rFonts w:hint="eastAsia" w:ascii="华文仿宋" w:hAnsi="华文仿宋" w:eastAsia="华文仿宋" w:cs="华文仿宋"/>
          <w:b/>
          <w:bCs/>
          <w:i w:val="0"/>
          <w:iCs w:val="0"/>
          <w:caps w:val="0"/>
          <w:color w:val="000000"/>
          <w:spacing w:val="0"/>
          <w:kern w:val="0"/>
          <w:sz w:val="28"/>
          <w:szCs w:val="28"/>
          <w:bdr w:val="none" w:color="auto" w:sz="0" w:space="0"/>
          <w:lang w:val="en-US" w:eastAsia="zh-CN" w:bidi="ar"/>
        </w:rPr>
        <w:t>（全组别）安徽大学</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w:t>
      </w:r>
      <w:r>
        <w:rPr>
          <w:rFonts w:hint="eastAsia" w:ascii="华文仿宋" w:hAnsi="华文仿宋" w:eastAsia="华文仿宋" w:cs="华文仿宋"/>
          <w:b/>
          <w:bCs/>
          <w:i w:val="0"/>
          <w:iCs w:val="0"/>
          <w:caps w:val="0"/>
          <w:color w:val="000000"/>
          <w:spacing w:val="0"/>
          <w:kern w:val="0"/>
          <w:sz w:val="28"/>
          <w:szCs w:val="28"/>
          <w:bdr w:val="none" w:color="auto" w:sz="0" w:space="0"/>
          <w:lang w:val="en-US" w:eastAsia="zh-CN" w:bidi="ar"/>
        </w:rPr>
        <w:t>（国际中文组）安徽大学、（个人赛）合肥大学</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，可报</w:t>
      </w:r>
      <w:r>
        <w:rPr>
          <w:rFonts w:hint="default" w:ascii="Times New Roman" w:hAnsi="Times New Roman" w:eastAsia="华文仿宋" w:cs="Times New Roman"/>
          <w:i w:val="0"/>
          <w:iCs w:val="0"/>
          <w:caps w:val="0"/>
          <w:color w:val="000000"/>
          <w:spacing w:val="0"/>
          <w:kern w:val="0"/>
          <w:sz w:val="28"/>
          <w:szCs w:val="28"/>
          <w:bdr w:val="none" w:color="auto" w:sz="0" w:space="0"/>
          <w:lang w:val="en-US" w:eastAsia="zh-CN" w:bidi="ar"/>
        </w:rPr>
        <w:t>2</w:t>
      </w:r>
      <w:r>
        <w:rPr>
          <w:rFonts w:hint="eastAsia" w:ascii="华文仿宋" w:hAnsi="华文仿宋" w:eastAsia="华文仿宋" w:cs="华文仿宋"/>
          <w:i w:val="0"/>
          <w:iCs w:val="0"/>
          <w:caps w:val="0"/>
          <w:color w:val="000000"/>
          <w:spacing w:val="0"/>
          <w:kern w:val="0"/>
          <w:sz w:val="28"/>
          <w:szCs w:val="28"/>
          <w:bdr w:val="none" w:color="auto" w:sz="0" w:space="0"/>
          <w:lang w:val="en-US" w:eastAsia="zh-CN" w:bidi="ar"/>
        </w:rPr>
        <w:t>个名额的组别请设计个性化团队名称以便区分</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。《大赛承诺书》（参赛选手、指导教师）要求提交</w:t>
      </w: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打印签字后扫描pdf版</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w:t>
      </w:r>
    </w:p>
    <w:p w14:paraId="5213B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报名截止时间：2025年5月30日23:59，以邮件发送时间为准，逾期不再接受补报，报名信息提交后不再变更。</w:t>
      </w:r>
    </w:p>
    <w:p w14:paraId="17ED8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报名邮箱：</w:t>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begin"/>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instrText xml:space="preserve"> HYPERLINK "mailto:icc0551sflep@163.com" </w:instrText>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separate"/>
      </w:r>
      <w:r>
        <w:rPr>
          <w:rStyle w:val="6"/>
          <w:rFonts w:hint="default" w:ascii="Times New Roman" w:hAnsi="Times New Roman" w:eastAsia="等线" w:cs="Times New Roman"/>
          <w:i w:val="0"/>
          <w:iCs w:val="0"/>
          <w:caps w:val="0"/>
          <w:color w:val="333333"/>
          <w:spacing w:val="0"/>
          <w:sz w:val="28"/>
          <w:szCs w:val="28"/>
          <w:u w:val="single"/>
          <w:bdr w:val="none" w:color="auto" w:sz="0" w:space="0"/>
        </w:rPr>
        <w:t>icc0551sflep@163.com</w:t>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end"/>
      </w:r>
    </w:p>
    <w:p w14:paraId="169BC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（三）</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比赛时间</w:t>
      </w:r>
    </w:p>
    <w:p w14:paraId="2ABE3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2025年5月30日前，校赛选拔。</w:t>
      </w:r>
    </w:p>
    <w:p w14:paraId="7474E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2025年6月7日-6月8日，省赛复赛（团队赛案例展示评审）。</w:t>
      </w:r>
    </w:p>
    <w:p w14:paraId="6F4C4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2025年6月21日-6月22日，省赛决赛（日语、德语、西班牙语团队赛）。</w:t>
      </w:r>
    </w:p>
    <w:p w14:paraId="17001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2025年6月28日，省赛决赛（国际中文团队赛）。</w:t>
      </w:r>
    </w:p>
    <w:p w14:paraId="1564F6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2025年6月29日，省赛决赛（个人赛）。</w:t>
      </w:r>
    </w:p>
    <w:p w14:paraId="1133A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2025年7月5日-7月6日，省赛决赛（英语团队赛）。</w:t>
      </w:r>
    </w:p>
    <w:p w14:paraId="1D059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（四）成绩公布</w:t>
      </w:r>
    </w:p>
    <w:p w14:paraId="0B8D5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决赛当场打分、当场出分。大赛成绩经大赛网站公示无异议后上报安徽省大学生创新创业教育办公室，并将获奖名单在安徽省高教网再次进行公示，公示无异议后，由安徽省教育厅发文公布获奖名单，颁发获奖证书。</w:t>
      </w:r>
    </w:p>
    <w:p w14:paraId="17963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九、成绩评定</w:t>
      </w:r>
    </w:p>
    <w:p w14:paraId="3F218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大赛考察学生在多元文化环境中和跨文化语境下，分析问题和解决问题的能力，具体评价指标及分值如下：</w:t>
      </w:r>
    </w:p>
    <w:p w14:paraId="0ACFA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（一）评分标准</w:t>
      </w:r>
    </w:p>
    <w:tbl>
      <w:tblPr>
        <w:tblW w:w="94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77"/>
        <w:gridCol w:w="3685"/>
        <w:gridCol w:w="4536"/>
      </w:tblGrid>
      <w:tr w14:paraId="187BD1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277" w:type="dxa"/>
            <w:tcBorders>
              <w:top w:val="single" w:color="auto" w:sz="12" w:space="0"/>
              <w:left w:val="single" w:color="auto" w:sz="12" w:space="0"/>
              <w:bottom w:val="single" w:color="auto" w:sz="8" w:space="0"/>
              <w:right w:val="single" w:color="auto" w:sz="8" w:space="0"/>
            </w:tcBorders>
            <w:shd w:val="clear"/>
            <w:tcMar>
              <w:top w:w="0" w:type="dxa"/>
              <w:left w:w="108" w:type="dxa"/>
              <w:bottom w:w="0" w:type="dxa"/>
              <w:right w:w="108" w:type="dxa"/>
            </w:tcMar>
            <w:vAlign w:val="center"/>
          </w:tcPr>
          <w:p w14:paraId="222D9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评价内容</w:t>
            </w:r>
          </w:p>
        </w:tc>
        <w:tc>
          <w:tcPr>
            <w:tcW w:w="8221" w:type="dxa"/>
            <w:gridSpan w:val="2"/>
            <w:tcBorders>
              <w:top w:val="single" w:color="auto" w:sz="12" w:space="0"/>
              <w:left w:val="nil"/>
              <w:bottom w:val="single" w:color="auto" w:sz="8" w:space="0"/>
              <w:right w:val="single" w:color="auto" w:sz="12" w:space="0"/>
            </w:tcBorders>
            <w:shd w:val="clear"/>
            <w:tcMar>
              <w:top w:w="0" w:type="dxa"/>
              <w:left w:w="108" w:type="dxa"/>
              <w:bottom w:w="0" w:type="dxa"/>
              <w:right w:w="108" w:type="dxa"/>
            </w:tcMar>
            <w:vAlign w:val="center"/>
          </w:tcPr>
          <w:p w14:paraId="4EF4E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团队赛：（一）案例开发与展析</w:t>
            </w:r>
          </w:p>
        </w:tc>
      </w:tr>
      <w:tr w14:paraId="699E5B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277" w:type="dxa"/>
            <w:tcBorders>
              <w:top w:val="nil"/>
              <w:left w:val="single" w:color="auto" w:sz="12" w:space="0"/>
              <w:bottom w:val="single" w:color="auto" w:sz="8" w:space="0"/>
              <w:right w:val="single" w:color="auto" w:sz="8" w:space="0"/>
            </w:tcBorders>
            <w:shd w:val="clear"/>
            <w:tcMar>
              <w:top w:w="0" w:type="dxa"/>
              <w:left w:w="108" w:type="dxa"/>
              <w:bottom w:w="0" w:type="dxa"/>
              <w:right w:w="108" w:type="dxa"/>
            </w:tcMar>
            <w:vAlign w:val="center"/>
          </w:tcPr>
          <w:p w14:paraId="74404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具体要求</w:t>
            </w:r>
          </w:p>
        </w:tc>
        <w:tc>
          <w:tcPr>
            <w:tcW w:w="8221" w:type="dxa"/>
            <w:gridSpan w:val="2"/>
            <w:tcBorders>
              <w:top w:val="nil"/>
              <w:left w:val="nil"/>
              <w:bottom w:val="single" w:color="auto" w:sz="8" w:space="0"/>
              <w:right w:val="single" w:color="auto" w:sz="12" w:space="0"/>
            </w:tcBorders>
            <w:shd w:val="clear"/>
            <w:tcMar>
              <w:top w:w="0" w:type="dxa"/>
              <w:left w:w="108" w:type="dxa"/>
              <w:bottom w:w="0" w:type="dxa"/>
              <w:right w:w="108" w:type="dxa"/>
            </w:tcMar>
            <w:vAlign w:val="center"/>
          </w:tcPr>
          <w:p w14:paraId="47C7B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案例开发：</w:t>
            </w:r>
          </w:p>
          <w:p w14:paraId="1E946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1案例具有原创性，有深度和广度；</w:t>
            </w:r>
          </w:p>
          <w:p w14:paraId="2C2BF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2案例具有代表性、典型性，能为解决其他语境中跨文化问题提供借鉴和启发；</w:t>
            </w:r>
          </w:p>
          <w:p w14:paraId="7B40C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3案例符合时代要求，体现时代性。</w:t>
            </w:r>
          </w:p>
          <w:p w14:paraId="43921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案例展示：</w:t>
            </w:r>
          </w:p>
          <w:p w14:paraId="089C2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1设计合理，能恰当准确地表现案例内容；</w:t>
            </w:r>
          </w:p>
          <w:p w14:paraId="0BA72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2前后环节逻辑合理，衔接自然；</w:t>
            </w:r>
          </w:p>
          <w:p w14:paraId="6B494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3展现形式不限，要求自然、合理，能生动、清晰展示案例内容；</w:t>
            </w:r>
          </w:p>
          <w:p w14:paraId="6E39D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4语言表达清晰、自然、流畅；</w:t>
            </w:r>
          </w:p>
          <w:p w14:paraId="53848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5辅助手段如PPT等的使用合理有效。</w:t>
            </w:r>
          </w:p>
          <w:p w14:paraId="30485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案例分析：</w:t>
            </w:r>
          </w:p>
          <w:p w14:paraId="692B0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1能恰当运用跨文化交际概念和理论知识，对案例中展现的跨文化现象进行分析；</w:t>
            </w:r>
          </w:p>
          <w:p w14:paraId="05643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2提供的建议恰当合理，形成的反思具有启发性。</w:t>
            </w:r>
          </w:p>
        </w:tc>
      </w:tr>
      <w:tr w14:paraId="69796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277" w:type="dxa"/>
            <w:tcBorders>
              <w:top w:val="nil"/>
              <w:left w:val="single" w:color="auto" w:sz="12" w:space="0"/>
              <w:bottom w:val="single" w:color="auto" w:sz="8" w:space="0"/>
              <w:right w:val="single" w:color="auto" w:sz="8" w:space="0"/>
            </w:tcBorders>
            <w:shd w:val="clear"/>
            <w:tcMar>
              <w:top w:w="0" w:type="dxa"/>
              <w:left w:w="108" w:type="dxa"/>
              <w:bottom w:w="0" w:type="dxa"/>
              <w:right w:w="108" w:type="dxa"/>
            </w:tcMar>
            <w:vAlign w:val="center"/>
          </w:tcPr>
          <w:p w14:paraId="2291A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评价内容</w:t>
            </w:r>
          </w:p>
        </w:tc>
        <w:tc>
          <w:tcPr>
            <w:tcW w:w="8221" w:type="dxa"/>
            <w:gridSpan w:val="2"/>
            <w:tcBorders>
              <w:top w:val="nil"/>
              <w:left w:val="nil"/>
              <w:bottom w:val="single" w:color="auto" w:sz="8" w:space="0"/>
              <w:right w:val="single" w:color="auto" w:sz="12" w:space="0"/>
            </w:tcBorders>
            <w:shd w:val="clear"/>
            <w:tcMar>
              <w:top w:w="0" w:type="dxa"/>
              <w:left w:w="108" w:type="dxa"/>
              <w:bottom w:w="0" w:type="dxa"/>
              <w:right w:w="108" w:type="dxa"/>
            </w:tcMar>
            <w:vAlign w:val="center"/>
          </w:tcPr>
          <w:p w14:paraId="1BDEF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团队赛：（二）情境述评</w:t>
            </w:r>
          </w:p>
        </w:tc>
      </w:tr>
      <w:tr w14:paraId="53526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277" w:type="dxa"/>
            <w:tcBorders>
              <w:top w:val="nil"/>
              <w:left w:val="single" w:color="auto" w:sz="12" w:space="0"/>
              <w:bottom w:val="single" w:color="auto" w:sz="8" w:space="0"/>
              <w:right w:val="single" w:color="auto" w:sz="8" w:space="0"/>
            </w:tcBorders>
            <w:shd w:val="clear"/>
            <w:tcMar>
              <w:top w:w="0" w:type="dxa"/>
              <w:left w:w="108" w:type="dxa"/>
              <w:bottom w:w="0" w:type="dxa"/>
              <w:right w:w="108" w:type="dxa"/>
            </w:tcMar>
            <w:vAlign w:val="center"/>
          </w:tcPr>
          <w:p w14:paraId="01FBE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具体要求</w:t>
            </w:r>
          </w:p>
        </w:tc>
        <w:tc>
          <w:tcPr>
            <w:tcW w:w="3685"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14:paraId="1945C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视频素材述评：</w:t>
            </w:r>
          </w:p>
          <w:p w14:paraId="4F575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1对视频内容的理解全面、深刻；</w:t>
            </w:r>
          </w:p>
          <w:p w14:paraId="1A5AD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sz w:val="24"/>
                <w:szCs w:val="24"/>
                <w:bdr w:val="none" w:color="auto" w:sz="0" w:space="0"/>
              </w:rPr>
              <w:t>2能合理运用跨文化交际相关概念和理论进行分析；</w:t>
            </w:r>
          </w:p>
          <w:p w14:paraId="72F48F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3提供的解决方案或建议恰当合理。</w:t>
            </w:r>
          </w:p>
        </w:tc>
        <w:tc>
          <w:tcPr>
            <w:tcW w:w="4536" w:type="dxa"/>
            <w:tcBorders>
              <w:top w:val="single" w:color="auto" w:sz="8" w:space="0"/>
              <w:left w:val="nil"/>
              <w:bottom w:val="single" w:color="auto" w:sz="8" w:space="0"/>
              <w:right w:val="single" w:color="auto" w:sz="12" w:space="0"/>
            </w:tcBorders>
            <w:shd w:val="clear"/>
            <w:tcMar>
              <w:top w:w="0" w:type="dxa"/>
              <w:left w:w="108" w:type="dxa"/>
              <w:bottom w:w="0" w:type="dxa"/>
              <w:right w:w="108" w:type="dxa"/>
            </w:tcMar>
            <w:vAlign w:val="top"/>
          </w:tcPr>
          <w:p w14:paraId="2A75A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b/>
                <w:bCs/>
                <w:kern w:val="0"/>
                <w:sz w:val="21"/>
                <w:szCs w:val="21"/>
                <w:bdr w:val="none" w:color="auto" w:sz="0" w:space="0"/>
                <w:lang w:val="en-US" w:eastAsia="zh-CN" w:bidi="ar"/>
              </w:rPr>
              <w:t>述评环节回答评委提问：</w:t>
            </w:r>
          </w:p>
          <w:p w14:paraId="03524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1能听懂评委提问，理解提问意图；</w:t>
            </w:r>
          </w:p>
          <w:p w14:paraId="1F8FD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2回答切题、中肯、简练，有理有据，具有说服力，体现出一定的跨文化理论素养；</w:t>
            </w:r>
          </w:p>
          <w:p w14:paraId="49968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3能快速、有效地组织应答语言，逻辑合理；</w:t>
            </w:r>
          </w:p>
          <w:p w14:paraId="0E384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4语言表达清晰、自然、流畅。</w:t>
            </w:r>
          </w:p>
        </w:tc>
      </w:tr>
      <w:tr w14:paraId="4439BE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277" w:type="dxa"/>
            <w:tcBorders>
              <w:top w:val="nil"/>
              <w:left w:val="single" w:color="auto" w:sz="12" w:space="0"/>
              <w:bottom w:val="single" w:color="auto" w:sz="8" w:space="0"/>
              <w:right w:val="single" w:color="auto" w:sz="8" w:space="0"/>
            </w:tcBorders>
            <w:shd w:val="clear"/>
            <w:tcMar>
              <w:top w:w="0" w:type="dxa"/>
              <w:left w:w="108" w:type="dxa"/>
              <w:bottom w:w="0" w:type="dxa"/>
              <w:right w:w="108" w:type="dxa"/>
            </w:tcMar>
            <w:vAlign w:val="center"/>
          </w:tcPr>
          <w:p w14:paraId="73A49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评价内容</w:t>
            </w:r>
          </w:p>
        </w:tc>
        <w:tc>
          <w:tcPr>
            <w:tcW w:w="8221" w:type="dxa"/>
            <w:gridSpan w:val="2"/>
            <w:tcBorders>
              <w:top w:val="nil"/>
              <w:left w:val="nil"/>
              <w:bottom w:val="single" w:color="auto" w:sz="8" w:space="0"/>
              <w:right w:val="single" w:color="auto" w:sz="12" w:space="0"/>
            </w:tcBorders>
            <w:shd w:val="clear"/>
            <w:tcMar>
              <w:top w:w="0" w:type="dxa"/>
              <w:left w:w="108" w:type="dxa"/>
              <w:bottom w:w="0" w:type="dxa"/>
              <w:right w:w="108" w:type="dxa"/>
            </w:tcMar>
            <w:vAlign w:val="center"/>
          </w:tcPr>
          <w:p w14:paraId="1610FE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个人赛：（一）名言名句解读</w:t>
            </w:r>
          </w:p>
        </w:tc>
      </w:tr>
      <w:tr w14:paraId="47FFEA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277" w:type="dxa"/>
            <w:tcBorders>
              <w:top w:val="nil"/>
              <w:left w:val="single" w:color="auto" w:sz="12" w:space="0"/>
              <w:bottom w:val="single" w:color="auto" w:sz="8" w:space="0"/>
              <w:right w:val="single" w:color="auto" w:sz="8" w:space="0"/>
            </w:tcBorders>
            <w:shd w:val="clear"/>
            <w:tcMar>
              <w:top w:w="0" w:type="dxa"/>
              <w:left w:w="108" w:type="dxa"/>
              <w:bottom w:w="0" w:type="dxa"/>
              <w:right w:w="108" w:type="dxa"/>
            </w:tcMar>
            <w:vAlign w:val="center"/>
          </w:tcPr>
          <w:p w14:paraId="24C5E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具体要求</w:t>
            </w:r>
          </w:p>
        </w:tc>
        <w:tc>
          <w:tcPr>
            <w:tcW w:w="8221" w:type="dxa"/>
            <w:gridSpan w:val="2"/>
            <w:tcBorders>
              <w:top w:val="nil"/>
              <w:left w:val="nil"/>
              <w:bottom w:val="single" w:color="auto" w:sz="8" w:space="0"/>
              <w:right w:val="single" w:color="auto" w:sz="12" w:space="0"/>
            </w:tcBorders>
            <w:shd w:val="clear"/>
            <w:tcMar>
              <w:top w:w="0" w:type="dxa"/>
              <w:left w:w="108" w:type="dxa"/>
              <w:bottom w:w="0" w:type="dxa"/>
              <w:right w:w="108" w:type="dxa"/>
            </w:tcMar>
            <w:vAlign w:val="center"/>
          </w:tcPr>
          <w:p w14:paraId="2387B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1 对名言名句的理解和解读准确、到位；</w:t>
            </w:r>
          </w:p>
          <w:p w14:paraId="0282D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2 延展性阐述切题、合理，具有说服力，体现较强的跨文化意识；</w:t>
            </w:r>
          </w:p>
          <w:p w14:paraId="30352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3 语言表达清晰、自然、流畅。</w:t>
            </w:r>
          </w:p>
        </w:tc>
      </w:tr>
      <w:tr w14:paraId="2946C2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277" w:type="dxa"/>
            <w:tcBorders>
              <w:top w:val="nil"/>
              <w:left w:val="single" w:color="auto" w:sz="12" w:space="0"/>
              <w:bottom w:val="single" w:color="auto" w:sz="8" w:space="0"/>
              <w:right w:val="single" w:color="auto" w:sz="8" w:space="0"/>
            </w:tcBorders>
            <w:shd w:val="clear"/>
            <w:tcMar>
              <w:top w:w="0" w:type="dxa"/>
              <w:left w:w="108" w:type="dxa"/>
              <w:bottom w:w="0" w:type="dxa"/>
              <w:right w:w="108" w:type="dxa"/>
            </w:tcMar>
            <w:vAlign w:val="center"/>
          </w:tcPr>
          <w:p w14:paraId="637BF4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评价内容</w:t>
            </w:r>
          </w:p>
        </w:tc>
        <w:tc>
          <w:tcPr>
            <w:tcW w:w="8221" w:type="dxa"/>
            <w:gridSpan w:val="2"/>
            <w:tcBorders>
              <w:top w:val="nil"/>
              <w:left w:val="nil"/>
              <w:bottom w:val="single" w:color="auto" w:sz="8" w:space="0"/>
              <w:right w:val="single" w:color="auto" w:sz="12" w:space="0"/>
            </w:tcBorders>
            <w:shd w:val="clear"/>
            <w:tcMar>
              <w:top w:w="0" w:type="dxa"/>
              <w:left w:w="108" w:type="dxa"/>
              <w:bottom w:w="0" w:type="dxa"/>
              <w:right w:w="108" w:type="dxa"/>
            </w:tcMar>
            <w:vAlign w:val="center"/>
          </w:tcPr>
          <w:p w14:paraId="550A0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个人赛：（二）讲述中国故事</w:t>
            </w:r>
          </w:p>
        </w:tc>
      </w:tr>
      <w:tr w14:paraId="428073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277" w:type="dxa"/>
            <w:tcBorders>
              <w:top w:val="nil"/>
              <w:left w:val="single" w:color="auto" w:sz="12" w:space="0"/>
              <w:bottom w:val="single" w:color="auto" w:sz="8" w:space="0"/>
              <w:right w:val="single" w:color="auto" w:sz="8" w:space="0"/>
            </w:tcBorders>
            <w:shd w:val="clear"/>
            <w:tcMar>
              <w:top w:w="0" w:type="dxa"/>
              <w:left w:w="108" w:type="dxa"/>
              <w:bottom w:w="0" w:type="dxa"/>
              <w:right w:w="108" w:type="dxa"/>
            </w:tcMar>
            <w:vAlign w:val="center"/>
          </w:tcPr>
          <w:p w14:paraId="4FA65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sz w:val="21"/>
                <w:szCs w:val="21"/>
              </w:rPr>
            </w:pPr>
            <w:r>
              <w:rPr>
                <w:rFonts w:hint="default" w:ascii="仿宋_GB2312" w:hAnsi="等线" w:eastAsia="仿宋_GB2312" w:cs="仿宋_GB2312"/>
                <w:b/>
                <w:bCs/>
                <w:kern w:val="0"/>
                <w:sz w:val="24"/>
                <w:szCs w:val="24"/>
                <w:bdr w:val="none" w:color="auto" w:sz="0" w:space="0"/>
                <w:lang w:val="en-US" w:eastAsia="zh-CN" w:bidi="ar"/>
              </w:rPr>
              <w:t>具体要求</w:t>
            </w:r>
          </w:p>
        </w:tc>
        <w:tc>
          <w:tcPr>
            <w:tcW w:w="8221" w:type="dxa"/>
            <w:gridSpan w:val="2"/>
            <w:tcBorders>
              <w:top w:val="nil"/>
              <w:left w:val="nil"/>
              <w:bottom w:val="single" w:color="auto" w:sz="8" w:space="0"/>
              <w:right w:val="single" w:color="auto" w:sz="12" w:space="0"/>
            </w:tcBorders>
            <w:shd w:val="clear"/>
            <w:tcMar>
              <w:top w:w="0" w:type="dxa"/>
              <w:left w:w="108" w:type="dxa"/>
              <w:bottom w:w="0" w:type="dxa"/>
              <w:right w:w="108" w:type="dxa"/>
            </w:tcMar>
            <w:vAlign w:val="top"/>
          </w:tcPr>
          <w:p w14:paraId="7C034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1讲述切题、中肯，有理有据；</w:t>
            </w:r>
          </w:p>
          <w:p w14:paraId="40C4F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2结构合理，逻辑严密；</w:t>
            </w:r>
          </w:p>
          <w:p w14:paraId="1A2FE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等线" w:hAnsi="等线" w:eastAsia="等线" w:cs="等线"/>
                <w:sz w:val="21"/>
                <w:szCs w:val="21"/>
              </w:rPr>
            </w:pPr>
            <w:r>
              <w:rPr>
                <w:rFonts w:hint="default" w:ascii="仿宋_GB2312" w:hAnsi="等线" w:eastAsia="仿宋_GB2312" w:cs="仿宋_GB2312"/>
                <w:kern w:val="0"/>
                <w:sz w:val="24"/>
                <w:szCs w:val="24"/>
                <w:bdr w:val="none" w:color="auto" w:sz="0" w:space="0"/>
                <w:lang w:val="en-US" w:eastAsia="zh-CN" w:bidi="ar"/>
              </w:rPr>
              <w:t>3语言准确地道流畅，语音、语调自然。</w:t>
            </w:r>
          </w:p>
        </w:tc>
      </w:tr>
    </w:tbl>
    <w:p w14:paraId="1B46F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等线" w:hAnsi="等线" w:eastAsia="等线" w:cs="等线"/>
          <w:color w:val="000000"/>
          <w:sz w:val="21"/>
          <w:szCs w:val="21"/>
        </w:rPr>
      </w:pPr>
      <w:r>
        <w:rPr>
          <w:rFonts w:hint="default" w:ascii="Times New Roman" w:hAnsi="Times New Roman" w:eastAsia="等线" w:cs="Times New Roman"/>
          <w:i w:val="0"/>
          <w:iCs w:val="0"/>
          <w:caps w:val="0"/>
          <w:color w:val="000000"/>
          <w:spacing w:val="0"/>
          <w:kern w:val="0"/>
          <w:sz w:val="36"/>
          <w:szCs w:val="36"/>
          <w:bdr w:val="none" w:color="auto" w:sz="0" w:space="0"/>
          <w:lang w:val="en-US" w:eastAsia="zh-CN" w:bidi="ar"/>
        </w:rPr>
        <w:t> </w:t>
      </w:r>
    </w:p>
    <w:p w14:paraId="25AC7E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（二）评分方法</w:t>
      </w:r>
    </w:p>
    <w:p w14:paraId="0B0DD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团队赛的英语组由</w:t>
      </w:r>
      <w:r>
        <w:rPr>
          <w:rFonts w:hint="eastAsia" w:ascii="仿宋" w:hAnsi="仿宋" w:eastAsia="仿宋" w:cs="仿宋"/>
          <w:i w:val="0"/>
          <w:iCs w:val="0"/>
          <w:caps w:val="0"/>
          <w:color w:val="000000"/>
          <w:spacing w:val="0"/>
          <w:kern w:val="0"/>
          <w:sz w:val="28"/>
          <w:szCs w:val="28"/>
          <w:bdr w:val="none" w:color="auto" w:sz="0" w:space="0"/>
          <w:lang w:val="en-US" w:eastAsia="zh-CN" w:bidi="ar"/>
        </w:rPr>
        <w:t>至少7名省内外专家担任评委，日语、德语、西班牙语、国际中文组由至少3名省内外专家担任评委。个人赛由至少5名省内外专家担任评委。</w:t>
      </w:r>
    </w:p>
    <w:p w14:paraId="2460A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团队赛，省赛复赛为案例展示评审，根据评分高低和获奖比例产生决赛入围名单。省赛决赛，满分100分，英语组、国际中文组各环节得分占比为：案例开发与展析占40%、情境述评占60%，日语、德语、西班牙语组为：案例开发与展析占100%。个人赛的省赛决赛，满分100分，名言名句解读占40%、讲述中国故事占60%，按得分和获奖比例产生一、二、三等奖。</w:t>
      </w:r>
    </w:p>
    <w:p w14:paraId="15376C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评委打分保留至小数点后一位。每个比赛阶段，去掉一个最高分、一个最低分，取算术平均分（保留至小数点后两位）为相应比赛阶段的得分。</w:t>
      </w:r>
    </w:p>
    <w:p w14:paraId="3011C2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团队赛决赛总成绩</w:t>
      </w:r>
      <w:r>
        <w:rPr>
          <w:rFonts w:hint="eastAsia" w:ascii="仿宋" w:hAnsi="仿宋" w:eastAsia="仿宋" w:cs="仿宋"/>
          <w:i w:val="0"/>
          <w:iCs w:val="0"/>
          <w:caps w:val="0"/>
          <w:color w:val="000000"/>
          <w:spacing w:val="0"/>
          <w:kern w:val="0"/>
          <w:sz w:val="28"/>
          <w:szCs w:val="28"/>
          <w:bdr w:val="none" w:color="auto" w:sz="0" w:space="0"/>
          <w:lang w:val="en-US" w:eastAsia="zh-CN" w:bidi="ar"/>
        </w:rPr>
        <w:t>=案例开发与展析得分+情境述评得分（英语组和国际中文组）</w:t>
      </w:r>
    </w:p>
    <w:p w14:paraId="2BA07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个人赛决赛总成绩=名言名句解读得分+讲述中国故事得分</w:t>
      </w:r>
    </w:p>
    <w:p w14:paraId="3D83F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十、奖项设定</w:t>
      </w:r>
    </w:p>
    <w:p w14:paraId="023C9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大赛奖项按照安徽省大学生学科技能大赛相关规定，设置一、二、三等奖。</w:t>
      </w:r>
    </w:p>
    <w:p w14:paraId="5A533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按照决赛总成绩得分高低，团队赛按省赛各组别团队总数的</w:t>
      </w:r>
      <w:r>
        <w:rPr>
          <w:rFonts w:hint="eastAsia" w:ascii="仿宋" w:hAnsi="仿宋" w:eastAsia="仿宋" w:cs="仿宋"/>
          <w:i w:val="0"/>
          <w:iCs w:val="0"/>
          <w:caps w:val="0"/>
          <w:color w:val="000000"/>
          <w:spacing w:val="0"/>
          <w:kern w:val="0"/>
          <w:sz w:val="28"/>
          <w:szCs w:val="28"/>
          <w:bdr w:val="none" w:color="auto" w:sz="0" w:space="0"/>
          <w:lang w:val="en-US" w:eastAsia="zh-CN" w:bidi="ar"/>
        </w:rPr>
        <w:t>10%、20%、30%设定一、二、三等奖，获一等奖的参赛团队指导教师为“优秀指导教师”；</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个人赛按省赛个人赛总人数的</w:t>
      </w:r>
      <w:r>
        <w:rPr>
          <w:rFonts w:hint="eastAsia" w:ascii="仿宋" w:hAnsi="仿宋" w:eastAsia="仿宋" w:cs="仿宋"/>
          <w:i w:val="0"/>
          <w:iCs w:val="0"/>
          <w:caps w:val="0"/>
          <w:color w:val="000000"/>
          <w:spacing w:val="0"/>
          <w:kern w:val="0"/>
          <w:sz w:val="28"/>
          <w:szCs w:val="28"/>
          <w:bdr w:val="none" w:color="auto" w:sz="0" w:space="0"/>
          <w:lang w:val="en-US" w:eastAsia="zh-CN" w:bidi="ar"/>
        </w:rPr>
        <w:t>10%、20%、30%设定一、二、三等奖，获一等奖的参赛选手指导教师为“优秀指导教师”；优秀组织奖不超过省赛院校总数的20%。</w:t>
      </w:r>
    </w:p>
    <w:p w14:paraId="4B390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十一、赛项安全</w:t>
      </w:r>
    </w:p>
    <w:p w14:paraId="5B609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赛事安全是技能竞赛一切工作顺利开展的先决条件，是赛事筹备和运行工作必须考虑的核心问题。大赛组委会采取切实有效措施保证大赛期间参赛选手、指导教师、工作人员及观众的人身安全。</w:t>
      </w:r>
    </w:p>
    <w:p w14:paraId="761FF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（一）比赛环境</w:t>
      </w:r>
    </w:p>
    <w:p w14:paraId="20645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决赛场地设在承办单位安徽大学。竞赛场地（含机房、多媒体教室等）用电应报备学校后勤管理部门，赛前针对竞赛场地电路进行检查，充分保障场地用电安全。同时配备后勤管理机动人员1名，用于竞赛过程现场用电安全维护。</w:t>
      </w:r>
    </w:p>
    <w:p w14:paraId="47C50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（二）生活条件</w:t>
      </w:r>
    </w:p>
    <w:p w14:paraId="78E0D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参赛选手在各校指导老师带领下入住赛场附近酒店或由秘书处预订住宿酒店，并将酒店联系方式提前发布到赛事QQ群和指导教师微信群。交通食宿费用由各参赛队伍自行承担。</w:t>
      </w:r>
    </w:p>
    <w:p w14:paraId="7A594D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（三）组队责任</w:t>
      </w:r>
    </w:p>
    <w:p w14:paraId="27278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各参赛高校大赛负责人应按组委会要求在规定时间节点完成应参赛选手名单上报、参赛选手组织、以及带领参赛选手报名注册等。大赛负责人即为本校的竞赛联络人，负责与组委会秘书处沟通联系。</w:t>
      </w:r>
    </w:p>
    <w:p w14:paraId="65AACE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参赛高校必须安排一名领队负责参赛师生的人身安全，并为参赛师生购买人身保险。各校指导老师应充分保证学生交通、食宿安全，指导学生训练，引导学生以正确的心态参加竞赛，营造良好的参赛氛围。</w:t>
      </w:r>
    </w:p>
    <w:p w14:paraId="69D43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（四）应急处理</w:t>
      </w:r>
    </w:p>
    <w:p w14:paraId="59CCE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比赛期间发生意外事故，发现者应第一时间报告大赛组委会，同时采取措施避免事态扩大。大赛组委会应立即启动预案予以解决。赛项出现重大安全问题可以停赛，是否停赛由大赛组委会决定。</w:t>
      </w:r>
    </w:p>
    <w:p w14:paraId="70BE32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4"/>
          <w:kern w:val="0"/>
          <w:sz w:val="28"/>
          <w:szCs w:val="28"/>
          <w:bdr w:val="none" w:color="auto" w:sz="0" w:space="0"/>
          <w:lang w:val="en-US" w:eastAsia="zh-CN" w:bidi="ar"/>
        </w:rPr>
        <w:t>比赛期间，承办高校将会同学校后勤部门做好供电、供水保障，一经发生断电、断水，立即启动备用线路供电应急预案和备用水供水应急预案。</w:t>
      </w:r>
    </w:p>
    <w:p w14:paraId="3E077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十二、竞赛须知</w:t>
      </w:r>
    </w:p>
    <w:p w14:paraId="0E7D0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（一）参赛团队须知</w:t>
      </w:r>
    </w:p>
    <w:p w14:paraId="5FA9C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参赛选手及指导教师在报名获得确认后，不得再更换选手名单。参赛选手和指导教师因故无法参赛，须由所在学校于赛项开赛七个工作日之前出具书面说明，经大赛组委会核实同意后方可更换。</w:t>
      </w:r>
    </w:p>
    <w:p w14:paraId="09889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（二）参赛选手须知</w:t>
      </w:r>
    </w:p>
    <w:p w14:paraId="49675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1．参赛选手应严格遵守赛场纪律，服从指挥，依据大赛组委会指定路线进入和离开赛场。</w:t>
      </w:r>
    </w:p>
    <w:p w14:paraId="70090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2．比赛过程中如遇问题，需举手向评委示意，选手之间不得互相询问，由评委记录并现场处理，违者按作弊处理。若突发故障导致比赛中断，应提请仲裁至现场确认原因，并视具体情况做出裁决。</w:t>
      </w:r>
    </w:p>
    <w:p w14:paraId="36B22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3．选手须服从评委裁决，比赛过程如有异议，应由领队在规定时间内向仲裁委员会提出申诉，不得与大赛工作人员直接交涉。参赛选手不得因申诉或对处理意见不服而停止竞赛，否则以弃权处理。</w:t>
      </w:r>
    </w:p>
    <w:p w14:paraId="72131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（三）指导教师须知</w:t>
      </w:r>
    </w:p>
    <w:p w14:paraId="038FB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1．各参赛高校须指定一名指导教师为领队，领队负责对所有选手、指导教师进行安全教育和安全管理，实现与赛场安全管理的对接。</w:t>
      </w:r>
    </w:p>
    <w:p w14:paraId="139E3D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2．领队按大赛组委会要求准时参加领队会议，并认真传达落实会议要求。</w:t>
      </w:r>
    </w:p>
    <w:p w14:paraId="0243A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3．对申诉的仲裁结果，领队要带头服从和执行，并做好选手工作。</w:t>
      </w:r>
    </w:p>
    <w:p w14:paraId="449FA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4．指导教师应及时查看有关赛项的通知和内容，认真研究和掌握本赛项竞赛规程，指导选手做好赛前准备，督促选手带好学生证和身份证等。</w:t>
      </w:r>
    </w:p>
    <w:p w14:paraId="36F92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5．指导教师务必带好有效身份证件，在活动过程中佩戴“指导教师证”参加竞赛相关活动。</w:t>
      </w:r>
    </w:p>
    <w:p w14:paraId="3C4C5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6．指导教师在比赛期间应严格遵守比赛规则，不得私自接触评委人员。教育选手树立良好的赛风，听从指挥，服从评委，不弄虚作假，确保比赛顺利进行。如发现弄虚作假者，取消参赛资格，参赛成绩无效。</w:t>
      </w:r>
    </w:p>
    <w:p w14:paraId="74E336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7．竞赛过程中，未经评委许可，领队、指导教师及其他人员一律不得进入竞赛现场。</w:t>
      </w:r>
    </w:p>
    <w:p w14:paraId="6B2096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（四）工作人员须知</w:t>
      </w:r>
    </w:p>
    <w:p w14:paraId="107EC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1．服从大赛组委会统一指挥，认真履行职责。按时到岗，坚守岗位，尽职尽责做好分配的各项工作，确保比赛顺利进行。</w:t>
      </w:r>
    </w:p>
    <w:p w14:paraId="6536A5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2．协助大赛组委会做好大赛有关服务工作。认真检查、核准选手证件，发现不允许带入赛场的物品，交由参赛队随行人员保管；引导选手进入和离开赛场，不得带领非参赛选手进入赛场。</w:t>
      </w:r>
    </w:p>
    <w:p w14:paraId="645B7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3．遇突发事件时，应及时报告大赛组委会，同时做好疏导工作，避免重大事故发生，确保比赛圆满成功。</w:t>
      </w:r>
    </w:p>
    <w:p w14:paraId="5C0F0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76"/>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4"/>
          <w:kern w:val="0"/>
          <w:sz w:val="28"/>
          <w:szCs w:val="28"/>
          <w:bdr w:val="none" w:color="auto" w:sz="0" w:space="0"/>
          <w:lang w:val="en-US" w:eastAsia="zh-CN" w:bidi="ar"/>
        </w:rPr>
        <w:t>4．按规定不回答选手提出的任何有关比赛技术问题，不得在赛场内接听或打电话。</w:t>
      </w:r>
    </w:p>
    <w:p w14:paraId="28718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十三、申诉与仲裁</w:t>
      </w:r>
    </w:p>
    <w:p w14:paraId="7A794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大赛设仲裁委员会，仲裁委员会接受由参赛队领队提出的申诉。参赛队如对比赛评判等有异议，可于当场比赛结束后2小时内由各参赛队领队向仲裁委员会提交书面申诉。</w:t>
      </w:r>
    </w:p>
    <w:p w14:paraId="7B21E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（一）申述</w:t>
      </w:r>
    </w:p>
    <w:p w14:paraId="36603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１.参赛队对不符合竞赛规定的设备、工具、软件，有失公正的评判、判罚，以及对工作人员的违规行为等，均可提出申诉。</w:t>
      </w:r>
    </w:p>
    <w:p w14:paraId="2C6340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２.申诉应在当场比赛结束后２小时内提出，超过时效将不予受理。申诉时，应按照规定的程序由参赛队领队向大赛组委会仲裁委员会递交书面申诉报告。申诉报告应对申诉事件的现象、发生的时间、涉及到的人员、申诉依据与理由等进行充分、实事求是的叙述。事实依据不充分、仅凭主观臆断的申诉将不予受理。</w:t>
      </w:r>
    </w:p>
    <w:p w14:paraId="320EE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3.申诉报告须有申诉的参赛队全体选手、指导老师、领队签名。</w:t>
      </w:r>
    </w:p>
    <w:p w14:paraId="6B019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（二）仲裁</w:t>
      </w:r>
    </w:p>
    <w:p w14:paraId="3E1CB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1.仲裁委员会收到申诉报告后，应根据申诉事由进行审查，6小时内书面通知申诉方，告知申诉处理结果。如受理申诉，要通知申诉方举办听证会的时间和地点；如不受理申诉，要说明理由。</w:t>
      </w:r>
    </w:p>
    <w:p w14:paraId="4DDCC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2．申诉人不得无故拒不接受处理结果，不允许采取过激行为刁难、攻击工作人员，否则视为放弃申诉。</w:t>
      </w:r>
    </w:p>
    <w:p w14:paraId="1DFB2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3. 仲裁委员会的仲裁结果为最终结果。</w:t>
      </w:r>
    </w:p>
    <w:p w14:paraId="52B94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十四、违规行为与处罚办法</w:t>
      </w:r>
    </w:p>
    <w:p w14:paraId="3E5D2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比赛应遵守大赛规程，保证比赛的公平、公正与公开。</w:t>
      </w:r>
      <w:r>
        <w:rPr>
          <w:rFonts w:hint="eastAsia" w:ascii="仿宋" w:hAnsi="仿宋" w:eastAsia="仿宋" w:cs="仿宋"/>
          <w:i w:val="0"/>
          <w:iCs w:val="0"/>
          <w:caps w:val="0"/>
          <w:color w:val="000000"/>
          <w:spacing w:val="0"/>
          <w:kern w:val="0"/>
          <w:sz w:val="28"/>
          <w:szCs w:val="28"/>
          <w:bdr w:val="none" w:color="auto" w:sz="0" w:space="0"/>
          <w:lang w:val="en-US" w:eastAsia="zh-CN" w:bidi="ar"/>
        </w:rPr>
        <w:t>比赛期间对于违反比赛规则的参赛选手，</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立即终止</w:t>
      </w:r>
      <w:r>
        <w:rPr>
          <w:rFonts w:hint="eastAsia" w:ascii="仿宋" w:hAnsi="仿宋" w:eastAsia="仿宋" w:cs="仿宋"/>
          <w:i w:val="0"/>
          <w:iCs w:val="0"/>
          <w:caps w:val="0"/>
          <w:color w:val="000000"/>
          <w:spacing w:val="0"/>
          <w:kern w:val="0"/>
          <w:sz w:val="28"/>
          <w:szCs w:val="28"/>
          <w:bdr w:val="none" w:color="auto" w:sz="0" w:space="0"/>
          <w:lang w:val="en-US" w:eastAsia="zh-CN" w:bidi="ar"/>
        </w:rPr>
        <w:t>其参赛资格并取消参赛成绩，同时禁止参加下一年度的安徽省大学生跨文化能力大赛。</w:t>
      </w: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如发现评委有徇私行为，立即终止其评委资格。</w:t>
      </w:r>
    </w:p>
    <w:p w14:paraId="712C0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2"/>
        <w:jc w:val="left"/>
        <w:rPr>
          <w:rFonts w:hint="eastAsia" w:ascii="等线" w:hAnsi="等线" w:eastAsia="等线" w:cs="等线"/>
          <w:color w:val="000000"/>
          <w:sz w:val="21"/>
          <w:szCs w:val="21"/>
        </w:rPr>
      </w:pPr>
      <w:r>
        <w:rPr>
          <w:rFonts w:hint="default" w:ascii="仿宋_GB2312" w:hAnsi="等线" w:eastAsia="仿宋_GB2312" w:cs="仿宋_GB2312"/>
          <w:b/>
          <w:bCs/>
          <w:i w:val="0"/>
          <w:iCs w:val="0"/>
          <w:caps w:val="0"/>
          <w:color w:val="000000"/>
          <w:spacing w:val="0"/>
          <w:kern w:val="0"/>
          <w:sz w:val="28"/>
          <w:szCs w:val="28"/>
          <w:bdr w:val="none" w:color="auto" w:sz="0" w:space="0"/>
          <w:lang w:val="en-US" w:eastAsia="zh-CN" w:bidi="ar"/>
        </w:rPr>
        <w:t>十五、竞赛宣传</w:t>
      </w:r>
    </w:p>
    <w:p w14:paraId="4C6C6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大赛组委会负责大赛宣传工作，维护竞赛QQ交流群和指导教师微信群，请各高校及时安排赛事负责人和指导教师加入QQ群和微信群，以便及时沟通交流赛事信息。秘书处通过大赛网站和安徽大学外语学院网站，发布竞赛信息，同时也希望各参赛学校积极做好竞赛宣传和报道。</w:t>
      </w:r>
    </w:p>
    <w:p w14:paraId="1C283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eastAsia" w:ascii="等线" w:hAnsi="等线" w:eastAsia="等线" w:cs="等线"/>
          <w:color w:val="000000"/>
          <w:sz w:val="21"/>
          <w:szCs w:val="21"/>
        </w:rPr>
      </w:pPr>
      <w:r>
        <w:rPr>
          <w:rFonts w:hint="default" w:ascii="仿宋_GB2312" w:hAnsi="等线" w:eastAsia="仿宋_GB2312" w:cs="仿宋_GB2312"/>
          <w:i w:val="0"/>
          <w:iCs w:val="0"/>
          <w:caps w:val="0"/>
          <w:color w:val="000000"/>
          <w:spacing w:val="0"/>
          <w:kern w:val="0"/>
          <w:sz w:val="28"/>
          <w:szCs w:val="28"/>
          <w:bdr w:val="none" w:color="auto" w:sz="0" w:space="0"/>
          <w:lang w:val="en-US" w:eastAsia="zh-CN" w:bidi="ar"/>
        </w:rPr>
        <w:t>大赛官方QQ交流群：414517862（各参赛高校赛事联系人、指导教师请及时入群）</w:t>
      </w:r>
    </w:p>
    <w:p w14:paraId="7EBC8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大赛网站：</w:t>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begin"/>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instrText xml:space="preserve"> HYPERLINK "https://csicc.flebm.com/" </w:instrText>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separate"/>
      </w:r>
      <w:r>
        <w:rPr>
          <w:rStyle w:val="6"/>
          <w:rFonts w:hint="default" w:ascii="Times New Roman" w:hAnsi="Times New Roman" w:eastAsia="等线" w:cs="Times New Roman"/>
          <w:i w:val="0"/>
          <w:iCs w:val="0"/>
          <w:caps w:val="0"/>
          <w:color w:val="333333"/>
          <w:spacing w:val="0"/>
          <w:sz w:val="28"/>
          <w:szCs w:val="28"/>
          <w:u w:val="single"/>
          <w:bdr w:val="none" w:color="auto" w:sz="0" w:space="0"/>
        </w:rPr>
        <w:t>https://csicc.flebm.com</w:t>
      </w:r>
      <w:r>
        <w:rPr>
          <w:rFonts w:hint="eastAsia" w:ascii="等线" w:hAnsi="等线" w:eastAsia="等线" w:cs="等线"/>
          <w:i w:val="0"/>
          <w:iCs w:val="0"/>
          <w:caps w:val="0"/>
          <w:color w:val="333333"/>
          <w:spacing w:val="0"/>
          <w:kern w:val="0"/>
          <w:sz w:val="21"/>
          <w:szCs w:val="21"/>
          <w:u w:val="none"/>
          <w:bdr w:val="none" w:color="auto" w:sz="0" w:space="0"/>
          <w:lang w:val="en-US" w:eastAsia="zh-CN" w:bidi="ar"/>
        </w:rPr>
        <w:fldChar w:fldCharType="end"/>
      </w:r>
    </w:p>
    <w:p w14:paraId="1F283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jc w:val="left"/>
        <w:rPr>
          <w:rFonts w:hint="eastAsia" w:ascii="等线" w:hAnsi="等线" w:eastAsia="等线" w:cs="等线"/>
          <w:color w:val="000000"/>
          <w:sz w:val="21"/>
          <w:szCs w:val="21"/>
        </w:rPr>
      </w:pPr>
      <w:r>
        <w:rPr>
          <w:rFonts w:hint="eastAsia" w:ascii="仿宋" w:hAnsi="仿宋" w:eastAsia="仿宋" w:cs="仿宋"/>
          <w:i w:val="0"/>
          <w:iCs w:val="0"/>
          <w:caps w:val="0"/>
          <w:color w:val="000000"/>
          <w:spacing w:val="0"/>
          <w:kern w:val="0"/>
          <w:sz w:val="28"/>
          <w:szCs w:val="28"/>
          <w:bdr w:val="none" w:color="auto" w:sz="0" w:space="0"/>
          <w:lang w:val="en-US" w:eastAsia="zh-CN" w:bidi="ar"/>
        </w:rPr>
        <w:t>大赛组委会邮箱：</w:t>
      </w:r>
      <w:r>
        <w:rPr>
          <w:rFonts w:hint="default" w:ascii="Times New Roman" w:hAnsi="Times New Roman" w:eastAsia="等线" w:cs="Times New Roman"/>
          <w:i w:val="0"/>
          <w:iCs w:val="0"/>
          <w:caps w:val="0"/>
          <w:color w:val="333333"/>
          <w:spacing w:val="0"/>
          <w:kern w:val="0"/>
          <w:sz w:val="28"/>
          <w:szCs w:val="28"/>
          <w:u w:val="single"/>
          <w:bdr w:val="none" w:color="auto" w:sz="0" w:space="0"/>
          <w:lang w:val="en-US" w:eastAsia="zh-CN" w:bidi="ar"/>
        </w:rPr>
        <w:fldChar w:fldCharType="begin"/>
      </w:r>
      <w:r>
        <w:rPr>
          <w:rFonts w:hint="default" w:ascii="Times New Roman" w:hAnsi="Times New Roman" w:eastAsia="等线" w:cs="Times New Roman"/>
          <w:i w:val="0"/>
          <w:iCs w:val="0"/>
          <w:caps w:val="0"/>
          <w:color w:val="333333"/>
          <w:spacing w:val="0"/>
          <w:kern w:val="0"/>
          <w:sz w:val="28"/>
          <w:szCs w:val="28"/>
          <w:u w:val="single"/>
          <w:bdr w:val="none" w:color="auto" w:sz="0" w:space="0"/>
          <w:lang w:val="en-US" w:eastAsia="zh-CN" w:bidi="ar"/>
        </w:rPr>
        <w:instrText xml:space="preserve"> HYPERLINK "mailto:icc0551sflep@163.com" </w:instrText>
      </w:r>
      <w:r>
        <w:rPr>
          <w:rFonts w:hint="default" w:ascii="Times New Roman" w:hAnsi="Times New Roman" w:eastAsia="等线" w:cs="Times New Roman"/>
          <w:i w:val="0"/>
          <w:iCs w:val="0"/>
          <w:caps w:val="0"/>
          <w:color w:val="333333"/>
          <w:spacing w:val="0"/>
          <w:kern w:val="0"/>
          <w:sz w:val="28"/>
          <w:szCs w:val="28"/>
          <w:u w:val="single"/>
          <w:bdr w:val="none" w:color="auto" w:sz="0" w:space="0"/>
          <w:lang w:val="en-US" w:eastAsia="zh-CN" w:bidi="ar"/>
        </w:rPr>
        <w:fldChar w:fldCharType="separate"/>
      </w:r>
      <w:r>
        <w:rPr>
          <w:rStyle w:val="6"/>
          <w:rFonts w:hint="default" w:ascii="Times New Roman" w:hAnsi="Times New Roman" w:eastAsia="等线" w:cs="Times New Roman"/>
          <w:i w:val="0"/>
          <w:iCs w:val="0"/>
          <w:caps w:val="0"/>
          <w:color w:val="333333"/>
          <w:spacing w:val="0"/>
          <w:sz w:val="28"/>
          <w:szCs w:val="28"/>
          <w:u w:val="single"/>
          <w:bdr w:val="none" w:color="auto" w:sz="0" w:space="0"/>
        </w:rPr>
        <w:t>icc0551sflep@163.com</w:t>
      </w:r>
      <w:r>
        <w:rPr>
          <w:rFonts w:hint="default" w:ascii="Times New Roman" w:hAnsi="Times New Roman" w:eastAsia="等线" w:cs="Times New Roman"/>
          <w:i w:val="0"/>
          <w:iCs w:val="0"/>
          <w:caps w:val="0"/>
          <w:color w:val="333333"/>
          <w:spacing w:val="0"/>
          <w:kern w:val="0"/>
          <w:sz w:val="28"/>
          <w:szCs w:val="28"/>
          <w:u w:val="single"/>
          <w:bdr w:val="none" w:color="auto" w:sz="0" w:space="0"/>
          <w:lang w:val="en-US" w:eastAsia="zh-CN" w:bidi="ar"/>
        </w:rPr>
        <w:fldChar w:fldCharType="end"/>
      </w:r>
    </w:p>
    <w:p w14:paraId="34A73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0" w:right="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2078"/>
    <w:rsid w:val="02954528"/>
    <w:rsid w:val="09905A49"/>
    <w:rsid w:val="3B3619E5"/>
    <w:rsid w:val="49E3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2025-05-12T23:14:28Z</dcterms:created>
  <dc:creator>86178</dc:creator>
  <cp:lastModifiedBy>清风徐来</cp:lastModifiedBy>
  <dcterms:modified xsi:type="dcterms:W3CDTF">2025-05-12T23:17:50Z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eyJoZGlkIjoiNzliMDgxNDQzOGY4YTlmMTBhOTJkMDczNDZjMDA2Y2QiLCJ1c2VySWQiOiI4MjYyNjA0MjIifQ==</vt:lpwstr>
  </property>
  <property fmtid="{D5CDD505-2E9C-101B-9397-08002B2CF9AE}" pid="4" name="ICV">
    <vt:lpwstr>2507D1EC2DFE4C8C99B176FC301A083A_12</vt:lpwstr>
  </property>
</Properties>
</file>